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6FF7" w:rsidRDefault="00466FF7" w:rsidP="00AA4AE9">
      <w:pPr>
        <w:pStyle w:val="NormalWeb"/>
        <w:spacing w:before="0" w:beforeAutospacing="0" w:after="0" w:afterAutospacing="0" w:line="480" w:lineRule="auto"/>
        <w:jc w:val="center"/>
        <w:rPr>
          <w:color w:val="0E101A"/>
        </w:rPr>
      </w:pPr>
    </w:p>
    <w:p w:rsidR="00466FF7" w:rsidRDefault="00466FF7" w:rsidP="00AA4AE9">
      <w:pPr>
        <w:pStyle w:val="NormalWeb"/>
        <w:spacing w:before="0" w:beforeAutospacing="0" w:after="0" w:afterAutospacing="0" w:line="480" w:lineRule="auto"/>
        <w:jc w:val="center"/>
        <w:rPr>
          <w:color w:val="0E101A"/>
        </w:rPr>
      </w:pPr>
    </w:p>
    <w:p w:rsidR="00466FF7" w:rsidRDefault="00466FF7" w:rsidP="00AA4AE9">
      <w:pPr>
        <w:pStyle w:val="NormalWeb"/>
        <w:spacing w:before="0" w:beforeAutospacing="0" w:after="0" w:afterAutospacing="0" w:line="480" w:lineRule="auto"/>
        <w:jc w:val="center"/>
        <w:rPr>
          <w:color w:val="0E101A"/>
        </w:rPr>
      </w:pPr>
    </w:p>
    <w:p w:rsidR="00466FF7" w:rsidRDefault="00466FF7" w:rsidP="00AA4AE9">
      <w:pPr>
        <w:pStyle w:val="NormalWeb"/>
        <w:spacing w:before="0" w:beforeAutospacing="0" w:after="0" w:afterAutospacing="0" w:line="480" w:lineRule="auto"/>
        <w:jc w:val="center"/>
        <w:rPr>
          <w:color w:val="0E101A"/>
        </w:rPr>
      </w:pPr>
    </w:p>
    <w:p w:rsidR="00466FF7" w:rsidRDefault="00466FF7" w:rsidP="00AA4AE9">
      <w:pPr>
        <w:pStyle w:val="NormalWeb"/>
        <w:spacing w:before="0" w:beforeAutospacing="0" w:after="0" w:afterAutospacing="0" w:line="480" w:lineRule="auto"/>
        <w:jc w:val="center"/>
        <w:rPr>
          <w:color w:val="0E101A"/>
        </w:rPr>
      </w:pPr>
    </w:p>
    <w:p w:rsidR="00466FF7" w:rsidRDefault="00466FF7" w:rsidP="00AA4AE9">
      <w:pPr>
        <w:pStyle w:val="NormalWeb"/>
        <w:spacing w:before="0" w:beforeAutospacing="0" w:after="0" w:afterAutospacing="0" w:line="480" w:lineRule="auto"/>
        <w:jc w:val="center"/>
        <w:rPr>
          <w:color w:val="0E101A"/>
        </w:rPr>
      </w:pPr>
    </w:p>
    <w:p w:rsidR="00F13F64" w:rsidRDefault="00F13F64" w:rsidP="00AA4AE9">
      <w:pPr>
        <w:pStyle w:val="NormalWeb"/>
        <w:spacing w:before="0" w:beforeAutospacing="0" w:after="0" w:afterAutospacing="0" w:line="480" w:lineRule="auto"/>
        <w:jc w:val="center"/>
        <w:rPr>
          <w:color w:val="0E101A"/>
        </w:rPr>
      </w:pPr>
      <w:r w:rsidRPr="000C131A">
        <w:rPr>
          <w:color w:val="0E101A"/>
        </w:rPr>
        <w:t>Patients with Traumatic Brain Injury Aggregate Description and Disaster Impact Assessment Focused on Educational Needs.</w:t>
      </w:r>
    </w:p>
    <w:p w:rsidR="00466FF7" w:rsidRDefault="00466FF7" w:rsidP="00AA4AE9">
      <w:pPr>
        <w:pStyle w:val="NormalWeb"/>
        <w:spacing w:before="0" w:beforeAutospacing="0" w:after="0" w:afterAutospacing="0" w:line="480" w:lineRule="auto"/>
        <w:jc w:val="center"/>
        <w:rPr>
          <w:color w:val="0E101A"/>
        </w:rPr>
      </w:pPr>
      <w:r>
        <w:rPr>
          <w:color w:val="0E101A"/>
        </w:rPr>
        <w:t>Students Name</w:t>
      </w:r>
    </w:p>
    <w:p w:rsidR="00466FF7" w:rsidRDefault="00466FF7" w:rsidP="00AA4AE9">
      <w:pPr>
        <w:pStyle w:val="NormalWeb"/>
        <w:spacing w:before="0" w:beforeAutospacing="0" w:after="0" w:afterAutospacing="0" w:line="480" w:lineRule="auto"/>
        <w:jc w:val="center"/>
        <w:rPr>
          <w:color w:val="0E101A"/>
        </w:rPr>
      </w:pPr>
      <w:r>
        <w:rPr>
          <w:color w:val="0E101A"/>
        </w:rPr>
        <w:t>Institutional Affiliation</w:t>
      </w:r>
    </w:p>
    <w:p w:rsidR="00466FF7" w:rsidRPr="000C131A" w:rsidRDefault="00466FF7" w:rsidP="00AA4AE9">
      <w:pPr>
        <w:pStyle w:val="NormalWeb"/>
        <w:spacing w:before="0" w:beforeAutospacing="0" w:after="0" w:afterAutospacing="0" w:line="480" w:lineRule="auto"/>
        <w:jc w:val="center"/>
        <w:rPr>
          <w:color w:val="0E101A"/>
        </w:rPr>
      </w:pPr>
      <w:r>
        <w:rPr>
          <w:color w:val="0E101A"/>
        </w:rPr>
        <w:t>Due Date</w:t>
      </w:r>
    </w:p>
    <w:p w:rsidR="00150DA8" w:rsidRDefault="00150DA8" w:rsidP="00AA4AE9">
      <w:pPr>
        <w:pStyle w:val="NormalWeb"/>
        <w:spacing w:before="0" w:beforeAutospacing="0" w:after="0" w:afterAutospacing="0" w:line="480" w:lineRule="auto"/>
        <w:rPr>
          <w:color w:val="0E101A"/>
        </w:rPr>
      </w:pPr>
    </w:p>
    <w:p w:rsidR="00150DA8" w:rsidRDefault="00150DA8" w:rsidP="00AA4AE9">
      <w:pPr>
        <w:pStyle w:val="NormalWeb"/>
        <w:spacing w:before="0" w:beforeAutospacing="0" w:after="0" w:afterAutospacing="0" w:line="480" w:lineRule="auto"/>
        <w:rPr>
          <w:color w:val="0E101A"/>
        </w:rPr>
      </w:pPr>
    </w:p>
    <w:p w:rsidR="00150DA8" w:rsidRDefault="00150DA8" w:rsidP="00AA4AE9">
      <w:pPr>
        <w:pStyle w:val="NormalWeb"/>
        <w:spacing w:before="0" w:beforeAutospacing="0" w:after="0" w:afterAutospacing="0" w:line="480" w:lineRule="auto"/>
        <w:rPr>
          <w:color w:val="0E101A"/>
        </w:rPr>
      </w:pPr>
    </w:p>
    <w:p w:rsidR="00150DA8" w:rsidRDefault="00150DA8" w:rsidP="00AA4AE9">
      <w:pPr>
        <w:pStyle w:val="NormalWeb"/>
        <w:spacing w:before="0" w:beforeAutospacing="0" w:after="0" w:afterAutospacing="0" w:line="480" w:lineRule="auto"/>
        <w:rPr>
          <w:color w:val="0E101A"/>
        </w:rPr>
      </w:pPr>
    </w:p>
    <w:p w:rsidR="00150DA8" w:rsidRDefault="00150DA8" w:rsidP="00AA4AE9">
      <w:pPr>
        <w:pStyle w:val="NormalWeb"/>
        <w:spacing w:before="0" w:beforeAutospacing="0" w:after="0" w:afterAutospacing="0" w:line="480" w:lineRule="auto"/>
        <w:rPr>
          <w:color w:val="0E101A"/>
        </w:rPr>
      </w:pPr>
    </w:p>
    <w:p w:rsidR="00150DA8" w:rsidRDefault="00150DA8" w:rsidP="00AA4AE9">
      <w:pPr>
        <w:pStyle w:val="NormalWeb"/>
        <w:spacing w:before="0" w:beforeAutospacing="0" w:after="0" w:afterAutospacing="0" w:line="480" w:lineRule="auto"/>
        <w:rPr>
          <w:color w:val="0E101A"/>
        </w:rPr>
      </w:pPr>
    </w:p>
    <w:p w:rsidR="00150DA8" w:rsidRDefault="00150DA8" w:rsidP="00AA4AE9">
      <w:pPr>
        <w:pStyle w:val="NormalWeb"/>
        <w:spacing w:before="0" w:beforeAutospacing="0" w:after="0" w:afterAutospacing="0" w:line="480" w:lineRule="auto"/>
        <w:rPr>
          <w:color w:val="0E101A"/>
        </w:rPr>
      </w:pPr>
    </w:p>
    <w:p w:rsidR="00150DA8" w:rsidRDefault="00150DA8" w:rsidP="00AA4AE9">
      <w:pPr>
        <w:pStyle w:val="NormalWeb"/>
        <w:spacing w:before="0" w:beforeAutospacing="0" w:after="0" w:afterAutospacing="0" w:line="480" w:lineRule="auto"/>
        <w:rPr>
          <w:color w:val="0E101A"/>
        </w:rPr>
      </w:pPr>
    </w:p>
    <w:p w:rsidR="00150DA8" w:rsidRDefault="00150DA8" w:rsidP="00AA4AE9">
      <w:pPr>
        <w:pStyle w:val="NormalWeb"/>
        <w:spacing w:before="0" w:beforeAutospacing="0" w:after="0" w:afterAutospacing="0" w:line="480" w:lineRule="auto"/>
        <w:rPr>
          <w:color w:val="0E101A"/>
        </w:rPr>
      </w:pPr>
    </w:p>
    <w:p w:rsidR="00150DA8" w:rsidRDefault="00150DA8" w:rsidP="00AA4AE9">
      <w:pPr>
        <w:pStyle w:val="NormalWeb"/>
        <w:spacing w:before="0" w:beforeAutospacing="0" w:after="0" w:afterAutospacing="0" w:line="480" w:lineRule="auto"/>
        <w:rPr>
          <w:color w:val="0E101A"/>
        </w:rPr>
      </w:pPr>
    </w:p>
    <w:p w:rsidR="00150DA8" w:rsidRDefault="00150DA8" w:rsidP="00AA4AE9">
      <w:pPr>
        <w:pStyle w:val="NormalWeb"/>
        <w:spacing w:before="0" w:beforeAutospacing="0" w:after="0" w:afterAutospacing="0" w:line="480" w:lineRule="auto"/>
        <w:rPr>
          <w:color w:val="0E101A"/>
        </w:rPr>
      </w:pPr>
    </w:p>
    <w:p w:rsidR="00631AE4" w:rsidRDefault="00631AE4" w:rsidP="00AA4AE9">
      <w:pPr>
        <w:pStyle w:val="NormalWeb"/>
        <w:spacing w:before="0" w:beforeAutospacing="0" w:after="0" w:afterAutospacing="0" w:line="480" w:lineRule="auto"/>
        <w:ind w:firstLine="0"/>
        <w:rPr>
          <w:color w:val="0E101A"/>
        </w:rPr>
      </w:pPr>
    </w:p>
    <w:p w:rsidR="00F13F64" w:rsidRPr="000C131A" w:rsidRDefault="00F13F64" w:rsidP="00AA4AE9">
      <w:pPr>
        <w:pStyle w:val="NormalWeb"/>
        <w:spacing w:before="0" w:beforeAutospacing="0" w:after="0" w:afterAutospacing="0" w:line="480" w:lineRule="auto"/>
        <w:ind w:firstLine="0"/>
        <w:jc w:val="center"/>
        <w:rPr>
          <w:color w:val="0E101A"/>
        </w:rPr>
      </w:pPr>
      <w:r w:rsidRPr="000C131A">
        <w:rPr>
          <w:color w:val="0E101A"/>
        </w:rPr>
        <w:lastRenderedPageBreak/>
        <w:t>Part One: Identification of At-Risk/Vulnerable Population</w:t>
      </w:r>
    </w:p>
    <w:p w:rsidR="00F13F64" w:rsidRPr="000C131A" w:rsidRDefault="00F13F64" w:rsidP="00AA4AE9">
      <w:pPr>
        <w:numPr>
          <w:ilvl w:val="0"/>
          <w:numId w:val="4"/>
        </w:numPr>
        <w:rPr>
          <w:rFonts w:cs="Times New Roman"/>
          <w:color w:val="0E101A"/>
          <w:szCs w:val="24"/>
        </w:rPr>
      </w:pPr>
      <w:r w:rsidRPr="000C131A">
        <w:rPr>
          <w:rFonts w:cs="Times New Roman"/>
          <w:color w:val="0E101A"/>
          <w:szCs w:val="24"/>
        </w:rPr>
        <w:t>Identify and describe your at-risk/vulnerable population (special needs) and discuss specific characteristics contributing to them being an at-risk population.</w:t>
      </w:r>
    </w:p>
    <w:p w:rsidR="00F13F64" w:rsidRPr="000C131A" w:rsidRDefault="00F13F64" w:rsidP="00AA4AE9">
      <w:pPr>
        <w:pStyle w:val="NormalWeb"/>
        <w:spacing w:before="0" w:beforeAutospacing="0" w:after="0" w:afterAutospacing="0" w:line="480" w:lineRule="auto"/>
        <w:rPr>
          <w:color w:val="0E101A"/>
        </w:rPr>
      </w:pPr>
      <w:r w:rsidRPr="000C131A">
        <w:rPr>
          <w:color w:val="0E101A"/>
        </w:rPr>
        <w:t>My at-risk/vulnerable population is the patients with traumatic brain injury (TBI). These patients suffer from alteration of the normal functioning of the brain as a result of external forces such as jolt, blow, or bump to the head. The patients may experience decreased or loss of consciousness, loss of memory, focal neurological defects, and disorientation of their mental states. The symptoms of TBI range from mild, moderate, and severe symptoms depending on the degree of injury. In mild TBI, patients usually experience short-lived changes in their consciousness or mental state. For severe cases, patients have increased periods of coma, unconsciousness, and may result in death.</w:t>
      </w:r>
    </w:p>
    <w:p w:rsidR="00F13F64" w:rsidRPr="000C131A" w:rsidRDefault="00F13F64" w:rsidP="00AA4AE9">
      <w:pPr>
        <w:pStyle w:val="NormalWeb"/>
        <w:spacing w:before="0" w:beforeAutospacing="0" w:after="0" w:afterAutospacing="0" w:line="480" w:lineRule="auto"/>
        <w:rPr>
          <w:color w:val="0E101A"/>
        </w:rPr>
      </w:pPr>
      <w:r w:rsidRPr="000C131A">
        <w:rPr>
          <w:color w:val="0E101A"/>
        </w:rPr>
        <w:t>TBI is one of the leading causes of mortalities and disabilities around the world. Patients with traumatic brain injury are an at-risk population because after surviving the injury, they engage in new behaviors that never existed before the injury. These behaviors may lead to problems such as substance abuse, risk-taking behaviors, psychological distress, and impulsive behaviors. Other characteristics such as loss of consciousness, memory and concentration problems, mood swings, depression, and inability to make sound decisions make these patients be an at-risk population</w:t>
      </w:r>
      <w:r w:rsidR="00F535CE" w:rsidRPr="00F535CE">
        <w:rPr>
          <w:color w:val="222222"/>
          <w:shd w:val="clear" w:color="auto" w:fill="FFFFFF"/>
        </w:rPr>
        <w:t xml:space="preserve"> </w:t>
      </w:r>
      <w:r w:rsidR="00F535CE">
        <w:rPr>
          <w:color w:val="222222"/>
          <w:shd w:val="clear" w:color="auto" w:fill="FFFFFF"/>
        </w:rPr>
        <w:t>(</w:t>
      </w:r>
      <w:r w:rsidR="00F535CE" w:rsidRPr="000C131A">
        <w:rPr>
          <w:color w:val="222222"/>
          <w:shd w:val="clear" w:color="auto" w:fill="FFFFFF"/>
        </w:rPr>
        <w:t>Ouellet</w:t>
      </w:r>
      <w:r w:rsidR="005D4A3D">
        <w:rPr>
          <w:color w:val="222222"/>
          <w:shd w:val="clear" w:color="auto" w:fill="FFFFFF"/>
        </w:rPr>
        <w:t xml:space="preserve"> et al. 2019</w:t>
      </w:r>
      <w:r w:rsidR="00F535CE">
        <w:rPr>
          <w:color w:val="222222"/>
          <w:shd w:val="clear" w:color="auto" w:fill="FFFFFF"/>
        </w:rPr>
        <w:t>)</w:t>
      </w:r>
      <w:r w:rsidRPr="000C131A">
        <w:rPr>
          <w:color w:val="0E101A"/>
        </w:rPr>
        <w:t>.</w:t>
      </w:r>
    </w:p>
    <w:p w:rsidR="005403E2" w:rsidRDefault="00F13F64" w:rsidP="00AA4AE9">
      <w:pPr>
        <w:pStyle w:val="ListParagraph"/>
        <w:numPr>
          <w:ilvl w:val="0"/>
          <w:numId w:val="4"/>
        </w:numPr>
        <w:spacing w:line="480" w:lineRule="auto"/>
        <w:rPr>
          <w:color w:val="0E101A"/>
        </w:rPr>
      </w:pPr>
      <w:r w:rsidRPr="009E2AC2">
        <w:rPr>
          <w:color w:val="0E101A"/>
        </w:rPr>
        <w:t xml:space="preserve">What specific and unique factors make this aggregate more vulnerable before, during, </w:t>
      </w:r>
    </w:p>
    <w:p w:rsidR="00F13F64" w:rsidRPr="005403E2" w:rsidRDefault="00F13F64" w:rsidP="00AA4AE9">
      <w:pPr>
        <w:ind w:firstLine="0"/>
        <w:rPr>
          <w:color w:val="0E101A"/>
        </w:rPr>
      </w:pPr>
      <w:r w:rsidRPr="005403E2">
        <w:rPr>
          <w:color w:val="0E101A"/>
        </w:rPr>
        <w:t>and after a disaster than other groups?</w:t>
      </w:r>
    </w:p>
    <w:p w:rsidR="00F13F64" w:rsidRPr="000C131A" w:rsidRDefault="005403E2" w:rsidP="00AA4AE9">
      <w:pPr>
        <w:pStyle w:val="NormalWeb"/>
        <w:spacing w:before="0" w:beforeAutospacing="0" w:after="0" w:afterAutospacing="0" w:line="480" w:lineRule="auto"/>
        <w:ind w:firstLine="0"/>
        <w:rPr>
          <w:color w:val="0E101A"/>
        </w:rPr>
      </w:pPr>
      <w:r>
        <w:rPr>
          <w:color w:val="0E101A"/>
        </w:rPr>
        <w:t xml:space="preserve">            </w:t>
      </w:r>
      <w:r w:rsidR="00F13F64" w:rsidRPr="000C131A">
        <w:rPr>
          <w:color w:val="0E101A"/>
        </w:rPr>
        <w:t xml:space="preserve">TBI patients, being unconscious are not able to know that a disaster is likely to occur. Even if they had been warned earlier of a disaster, they may not remember due to memory loss problems and the disaster may end up affecting them without their knowledge. During the </w:t>
      </w:r>
      <w:r w:rsidR="00F13F64" w:rsidRPr="000C131A">
        <w:rPr>
          <w:color w:val="0E101A"/>
        </w:rPr>
        <w:lastRenderedPageBreak/>
        <w:t>disaster, this population is unable to make sound decisions because they may have risk-taking or impulsive behaviors which may result in them getting adverse effects from the disaster. During the disaster, these patients are unconscious and therefore cannot save themselves from the disaster. During the occurrence of the disaster, some of these patients may engage in behaviors that may worsen the situation of the disaster which may adversely affect them or other groups of people. After the disaster, TBI patients are not able to engage in post-disaster activities such as rehabilitation, reconstruction, or recovery activities due to their weakened or abnormal functioning of the brain</w:t>
      </w:r>
      <w:r w:rsidR="00F12301" w:rsidRPr="00F12301">
        <w:rPr>
          <w:color w:val="222222"/>
          <w:shd w:val="clear" w:color="auto" w:fill="FFFFFF"/>
        </w:rPr>
        <w:t xml:space="preserve"> </w:t>
      </w:r>
      <w:r w:rsidR="00F12301">
        <w:rPr>
          <w:color w:val="222222"/>
          <w:shd w:val="clear" w:color="auto" w:fill="FFFFFF"/>
        </w:rPr>
        <w:t>(</w:t>
      </w:r>
      <w:r w:rsidR="00F12301" w:rsidRPr="000C131A">
        <w:rPr>
          <w:color w:val="222222"/>
          <w:shd w:val="clear" w:color="auto" w:fill="FFFFFF"/>
        </w:rPr>
        <w:t>Fins</w:t>
      </w:r>
      <w:r w:rsidR="00F12301">
        <w:rPr>
          <w:color w:val="222222"/>
          <w:shd w:val="clear" w:color="auto" w:fill="FFFFFF"/>
        </w:rPr>
        <w:t>, 2015)</w:t>
      </w:r>
      <w:r w:rsidR="00F13F64" w:rsidRPr="000C131A">
        <w:rPr>
          <w:color w:val="0E101A"/>
        </w:rPr>
        <w:t>.</w:t>
      </w:r>
    </w:p>
    <w:p w:rsidR="00F13F64" w:rsidRPr="007155F5" w:rsidRDefault="00F13F64" w:rsidP="00AA4AE9">
      <w:pPr>
        <w:pStyle w:val="ListParagraph"/>
        <w:numPr>
          <w:ilvl w:val="0"/>
          <w:numId w:val="4"/>
        </w:numPr>
        <w:spacing w:line="480" w:lineRule="auto"/>
        <w:rPr>
          <w:color w:val="0E101A"/>
        </w:rPr>
      </w:pPr>
      <w:r w:rsidRPr="007155F5">
        <w:rPr>
          <w:color w:val="0E101A"/>
        </w:rPr>
        <w:t>Go to the US Census at </w:t>
      </w:r>
      <w:hyperlink r:id="rId7" w:tgtFrame="_blank" w:history="1">
        <w:r w:rsidRPr="007155F5">
          <w:rPr>
            <w:rStyle w:val="Hyperlink"/>
            <w:color w:val="4A6EE0"/>
          </w:rPr>
          <w:t>http://www.census.gov/</w:t>
        </w:r>
      </w:hyperlink>
      <w:r w:rsidRPr="007155F5">
        <w:rPr>
          <w:color w:val="0E101A"/>
        </w:rPr>
        <w:t>. using an address of where your aggregate resides or the address of an agency where the members receive services, look up the following most recent census data</w:t>
      </w:r>
    </w:p>
    <w:p w:rsidR="00F13F64" w:rsidRPr="00FB76A0" w:rsidRDefault="00F13F64" w:rsidP="00AA4AE9">
      <w:pPr>
        <w:pStyle w:val="ListParagraph"/>
        <w:numPr>
          <w:ilvl w:val="1"/>
          <w:numId w:val="4"/>
        </w:numPr>
        <w:spacing w:line="480" w:lineRule="auto"/>
        <w:rPr>
          <w:color w:val="0E101A"/>
        </w:rPr>
      </w:pPr>
      <w:r w:rsidRPr="00FB76A0">
        <w:rPr>
          <w:color w:val="0E101A"/>
        </w:rPr>
        <w:t>What address did you use City or county – Lake Charles, State- Louisiana.</w:t>
      </w:r>
    </w:p>
    <w:p w:rsidR="00F13F64" w:rsidRPr="00FB76A0" w:rsidRDefault="00F13F64" w:rsidP="00AA4AE9">
      <w:pPr>
        <w:pStyle w:val="ListParagraph"/>
        <w:numPr>
          <w:ilvl w:val="1"/>
          <w:numId w:val="4"/>
        </w:numPr>
        <w:spacing w:line="480" w:lineRule="auto"/>
        <w:rPr>
          <w:color w:val="0E101A"/>
        </w:rPr>
      </w:pPr>
      <w:r w:rsidRPr="00FB76A0">
        <w:rPr>
          <w:color w:val="0E101A"/>
        </w:rPr>
        <w:t>What is the total population- 78, 396</w:t>
      </w:r>
    </w:p>
    <w:p w:rsidR="00F13F64" w:rsidRPr="00FB76A0" w:rsidRDefault="00F13F64" w:rsidP="00AA4AE9">
      <w:pPr>
        <w:pStyle w:val="ListParagraph"/>
        <w:numPr>
          <w:ilvl w:val="1"/>
          <w:numId w:val="4"/>
        </w:numPr>
        <w:spacing w:line="480" w:lineRule="auto"/>
        <w:rPr>
          <w:color w:val="0E101A"/>
        </w:rPr>
      </w:pPr>
      <w:r w:rsidRPr="00FB76A0">
        <w:rPr>
          <w:color w:val="0E101A"/>
        </w:rPr>
        <w:t>Give the percentage of the non-white population- 53.2%</w:t>
      </w:r>
    </w:p>
    <w:p w:rsidR="00F13F64" w:rsidRPr="00FB76A0" w:rsidRDefault="00F13F64" w:rsidP="00AA4AE9">
      <w:pPr>
        <w:pStyle w:val="ListParagraph"/>
        <w:numPr>
          <w:ilvl w:val="1"/>
          <w:numId w:val="4"/>
        </w:numPr>
        <w:spacing w:line="480" w:lineRule="auto"/>
        <w:rPr>
          <w:color w:val="0E101A"/>
        </w:rPr>
      </w:pPr>
      <w:r w:rsidRPr="00FB76A0">
        <w:rPr>
          <w:color w:val="0E101A"/>
        </w:rPr>
        <w:t>What percent are veterans- 6.1%</w:t>
      </w:r>
    </w:p>
    <w:p w:rsidR="00F13F64" w:rsidRPr="00481BF5" w:rsidRDefault="00F13F64" w:rsidP="00AA4AE9">
      <w:pPr>
        <w:pStyle w:val="ListParagraph"/>
        <w:numPr>
          <w:ilvl w:val="1"/>
          <w:numId w:val="4"/>
        </w:numPr>
        <w:spacing w:line="480" w:lineRule="auto"/>
        <w:rPr>
          <w:color w:val="0E101A"/>
        </w:rPr>
      </w:pPr>
      <w:r w:rsidRPr="00481BF5">
        <w:rPr>
          <w:color w:val="0E101A"/>
        </w:rPr>
        <w:t>What is the percentage of persons in poverty- 22.8%</w:t>
      </w:r>
    </w:p>
    <w:p w:rsidR="00F13F64" w:rsidRPr="000C131A" w:rsidRDefault="00F13F64" w:rsidP="00AA4AE9">
      <w:pPr>
        <w:pStyle w:val="NormalWeb"/>
        <w:spacing w:before="0" w:beforeAutospacing="0" w:after="0" w:afterAutospacing="0" w:line="480" w:lineRule="auto"/>
        <w:jc w:val="center"/>
        <w:rPr>
          <w:color w:val="0E101A"/>
        </w:rPr>
      </w:pPr>
      <w:r w:rsidRPr="000C131A">
        <w:rPr>
          <w:color w:val="0E101A"/>
        </w:rPr>
        <w:t>Part Two: Resource Assessment</w:t>
      </w:r>
    </w:p>
    <w:p w:rsidR="00F13F64" w:rsidRPr="000C131A" w:rsidRDefault="00F13F64" w:rsidP="00AA4AE9">
      <w:pPr>
        <w:numPr>
          <w:ilvl w:val="0"/>
          <w:numId w:val="7"/>
        </w:numPr>
        <w:rPr>
          <w:rFonts w:cs="Times New Roman"/>
          <w:color w:val="0E101A"/>
          <w:szCs w:val="24"/>
        </w:rPr>
      </w:pPr>
      <w:r w:rsidRPr="000C131A">
        <w:rPr>
          <w:rFonts w:cs="Times New Roman"/>
          <w:color w:val="0E101A"/>
          <w:szCs w:val="24"/>
        </w:rPr>
        <w:t>Describe, in detail, specific to their age, health conditions, or other factors, what resources your identified aggregate members need before, during, and after a disaster where evacuation or sheltering in place is required. Please discuss any differences in special needs for each phase related to their disability or identified risk factors.</w:t>
      </w:r>
    </w:p>
    <w:p w:rsidR="00F13F64" w:rsidRPr="000C131A" w:rsidRDefault="00F13F64" w:rsidP="00AA4AE9">
      <w:pPr>
        <w:pStyle w:val="NormalWeb"/>
        <w:spacing w:before="0" w:beforeAutospacing="0" w:after="0" w:afterAutospacing="0" w:line="480" w:lineRule="auto"/>
        <w:rPr>
          <w:color w:val="0E101A"/>
        </w:rPr>
      </w:pPr>
      <w:r w:rsidRPr="000C131A">
        <w:rPr>
          <w:color w:val="0E101A"/>
        </w:rPr>
        <w:t xml:space="preserve">The before phase of a disaster, known as the preparedness phase, requires that nurses stock and have access to all the resources that they will require during the disaster. For TBI </w:t>
      </w:r>
      <w:r w:rsidRPr="000C131A">
        <w:rPr>
          <w:color w:val="0E101A"/>
        </w:rPr>
        <w:lastRenderedPageBreak/>
        <w:t>patients resources required before the disaster may include personal protective equipment, enough staff including psychologists, and medical devices such as wheelchairs, funds, and rescue centers. Personal protective equipment includes safety boots and gloves to be used during the evacuation process. Medical staff that includes psychologists will be necessary to provide talks to the patients to prevent further trauma. Devices such as wheelchairs are required to transport some of the adult patients who may be unconscious. TBI patients require special psychologists to talk to them before the occurrence of the disaster to try to prepare them.</w:t>
      </w:r>
    </w:p>
    <w:p w:rsidR="00F13F64" w:rsidRPr="000C131A" w:rsidRDefault="00F13F64" w:rsidP="00AA4AE9">
      <w:pPr>
        <w:pStyle w:val="NormalWeb"/>
        <w:spacing w:before="0" w:beforeAutospacing="0" w:after="0" w:afterAutospacing="0" w:line="480" w:lineRule="auto"/>
        <w:rPr>
          <w:color w:val="0E101A"/>
        </w:rPr>
      </w:pPr>
      <w:r w:rsidRPr="000C131A">
        <w:rPr>
          <w:color w:val="0E101A"/>
        </w:rPr>
        <w:t>During the disaster phase (response phase), psychologists, drugs, emergency response staff including psychiatrists, hospital facilities such as hospital beds, supplies such as food and oxygen, communication facilities, and ventilators. During the response phase, TBI patients require special resources of ventilators, oxygen supplies, and psychiatrists. This is because the disaster may worsen their condition to require specialized care.</w:t>
      </w:r>
    </w:p>
    <w:p w:rsidR="00F13F64" w:rsidRPr="000C131A" w:rsidRDefault="00F13F64" w:rsidP="00AA4AE9">
      <w:pPr>
        <w:pStyle w:val="NormalWeb"/>
        <w:spacing w:before="0" w:beforeAutospacing="0" w:after="0" w:afterAutospacing="0" w:line="480" w:lineRule="auto"/>
        <w:rPr>
          <w:color w:val="0E101A"/>
        </w:rPr>
      </w:pPr>
      <w:r w:rsidRPr="000C131A">
        <w:rPr>
          <w:color w:val="0E101A"/>
        </w:rPr>
        <w:t>Resources required after a disaster (recovery phase) include essential goods such as clothes and food, services such as medical services, funds, and shelter. Traumatic brain injury patients require special care from psychiatrists and psychologists even after the disaster to continue helping them in their health conditions that might have been worsened by the disaster</w:t>
      </w:r>
      <w:r w:rsidR="00A16CEB" w:rsidRPr="00A16CEB">
        <w:rPr>
          <w:color w:val="222222"/>
          <w:shd w:val="clear" w:color="auto" w:fill="FFFFFF"/>
        </w:rPr>
        <w:t xml:space="preserve"> </w:t>
      </w:r>
      <w:r w:rsidR="00A16CEB">
        <w:rPr>
          <w:color w:val="222222"/>
          <w:shd w:val="clear" w:color="auto" w:fill="FFFFFF"/>
        </w:rPr>
        <w:t>(</w:t>
      </w:r>
      <w:r w:rsidR="00A16CEB" w:rsidRPr="000C131A">
        <w:rPr>
          <w:color w:val="222222"/>
          <w:shd w:val="clear" w:color="auto" w:fill="FFFFFF"/>
        </w:rPr>
        <w:t>Shapiro</w:t>
      </w:r>
      <w:r w:rsidR="00A16CEB">
        <w:rPr>
          <w:color w:val="222222"/>
          <w:shd w:val="clear" w:color="auto" w:fill="FFFFFF"/>
        </w:rPr>
        <w:t xml:space="preserve"> et al. 2020)</w:t>
      </w:r>
      <w:r w:rsidRPr="000C131A">
        <w:rPr>
          <w:color w:val="0E101A"/>
        </w:rPr>
        <w:t>.</w:t>
      </w:r>
    </w:p>
    <w:p w:rsidR="00F13F64" w:rsidRPr="00362362" w:rsidRDefault="00F13F64" w:rsidP="00AA4AE9">
      <w:pPr>
        <w:pStyle w:val="ListParagraph"/>
        <w:numPr>
          <w:ilvl w:val="0"/>
          <w:numId w:val="7"/>
        </w:numPr>
        <w:spacing w:line="480" w:lineRule="auto"/>
        <w:rPr>
          <w:color w:val="0E101A"/>
        </w:rPr>
      </w:pPr>
      <w:r w:rsidRPr="00362362">
        <w:rPr>
          <w:color w:val="0E101A"/>
        </w:rPr>
        <w:t>Identify two community/agency resources and their professional websites specific to your chosen at-risk/vulnerable aggregate that could assist your aggregate before, during, and after a disaster. Describe how each resource/agency/website specifically addresses the unique needs of your at-risk aggregate.</w:t>
      </w:r>
    </w:p>
    <w:p w:rsidR="00F13F64" w:rsidRPr="000C131A" w:rsidRDefault="00F13F64" w:rsidP="00AA4AE9">
      <w:pPr>
        <w:pStyle w:val="NormalWeb"/>
        <w:spacing w:before="0" w:beforeAutospacing="0" w:after="0" w:afterAutospacing="0" w:line="480" w:lineRule="auto"/>
        <w:rPr>
          <w:color w:val="0E101A"/>
        </w:rPr>
      </w:pPr>
      <w:r w:rsidRPr="000C131A">
        <w:rPr>
          <w:color w:val="0E101A"/>
        </w:rPr>
        <w:t xml:space="preserve">Agencies that assist TBI patients before, during, and after a disaster include the Federal Emergency Management Agency (FEMA) and the American Red Cross. FEMA is a US </w:t>
      </w:r>
      <w:r w:rsidRPr="000C131A">
        <w:rPr>
          <w:color w:val="0E101A"/>
        </w:rPr>
        <w:lastRenderedPageBreak/>
        <w:t>government agency that supports and assists the citizens including TBI patients in preparing for, responding to, and recovering from the effects of disasters. FEMA helps in planning evacuation activities and transportation for unconscious TBI patients who require the use of wheelchairs or other mobility devices. The agency also assists TBI patients with personal care and sleeping arrangements for they are unable to make decisions on their own. The website of FEMA is fema.gov.</w:t>
      </w:r>
    </w:p>
    <w:p w:rsidR="00F13F64" w:rsidRPr="000C131A" w:rsidRDefault="00F13F64" w:rsidP="00AA4AE9">
      <w:pPr>
        <w:pStyle w:val="NormalWeb"/>
        <w:spacing w:before="0" w:beforeAutospacing="0" w:after="0" w:afterAutospacing="0" w:line="480" w:lineRule="auto"/>
        <w:rPr>
          <w:color w:val="0E101A"/>
        </w:rPr>
      </w:pPr>
      <w:r w:rsidRPr="000C131A">
        <w:rPr>
          <w:color w:val="0E101A"/>
        </w:rPr>
        <w:t>The American Red Cross assists TBI patients by providing shelter, mental health services, food, sufficient oxygen, and medications. The agency helps these people to meet their unique needs by providing oxygen for the unconscious, catering for their mental states by providing mental health services, and by providing for their medications. The website for the America Red Cross is </w:t>
      </w:r>
      <w:hyperlink r:id="rId8" w:tgtFrame="_blank" w:history="1">
        <w:r w:rsidRPr="000C131A">
          <w:rPr>
            <w:rStyle w:val="Hyperlink"/>
            <w:color w:val="4A6EE0"/>
          </w:rPr>
          <w:t>www.redcross.org</w:t>
        </w:r>
      </w:hyperlink>
      <w:r w:rsidR="005D4A3D">
        <w:rPr>
          <w:color w:val="222222"/>
          <w:shd w:val="clear" w:color="auto" w:fill="FFFFFF"/>
        </w:rPr>
        <w:t>, (</w:t>
      </w:r>
      <w:r w:rsidR="005D4A3D">
        <w:rPr>
          <w:rFonts w:ascii="Arial" w:hAnsi="Arial" w:cs="Arial"/>
          <w:color w:val="222222"/>
          <w:sz w:val="20"/>
          <w:szCs w:val="20"/>
          <w:shd w:val="clear" w:color="auto" w:fill="FFFFFF"/>
        </w:rPr>
        <w:t>Chang,</w:t>
      </w:r>
      <w:r w:rsidR="005D4A3D">
        <w:rPr>
          <w:rFonts w:ascii="Arial" w:hAnsi="Arial" w:cs="Arial"/>
          <w:color w:val="222222"/>
          <w:sz w:val="20"/>
          <w:szCs w:val="20"/>
          <w:shd w:val="clear" w:color="auto" w:fill="FFFFFF"/>
        </w:rPr>
        <w:t xml:space="preserve"> </w:t>
      </w:r>
      <w:r w:rsidR="005D4A3D">
        <w:rPr>
          <w:rFonts w:ascii="Arial" w:hAnsi="Arial" w:cs="Arial"/>
          <w:color w:val="222222"/>
          <w:sz w:val="20"/>
          <w:szCs w:val="20"/>
          <w:shd w:val="clear" w:color="auto" w:fill="FFFFFF"/>
        </w:rPr>
        <w:t>2017)</w:t>
      </w:r>
      <w:r w:rsidR="005D4A3D">
        <w:rPr>
          <w:rFonts w:ascii="Arial" w:hAnsi="Arial" w:cs="Arial"/>
          <w:color w:val="222222"/>
          <w:sz w:val="20"/>
          <w:szCs w:val="20"/>
          <w:shd w:val="clear" w:color="auto" w:fill="FFFFFF"/>
        </w:rPr>
        <w:t>.</w:t>
      </w:r>
    </w:p>
    <w:p w:rsidR="00F13F64" w:rsidRPr="00FB399C" w:rsidRDefault="00F13F64" w:rsidP="00AA4AE9">
      <w:pPr>
        <w:pStyle w:val="ListParagraph"/>
        <w:numPr>
          <w:ilvl w:val="0"/>
          <w:numId w:val="7"/>
        </w:numPr>
        <w:spacing w:line="480" w:lineRule="auto"/>
        <w:rPr>
          <w:color w:val="0E101A"/>
        </w:rPr>
      </w:pPr>
      <w:r w:rsidRPr="00FB399C">
        <w:rPr>
          <w:color w:val="0E101A"/>
        </w:rPr>
        <w:t>Identify the Emergency Management Coordinator for the city/county in which you reside. Give the: Name, title, phone number, and website (if available).</w:t>
      </w:r>
    </w:p>
    <w:p w:rsidR="00F13F64" w:rsidRPr="000C131A" w:rsidRDefault="00F13F64" w:rsidP="00AA4AE9">
      <w:pPr>
        <w:pStyle w:val="NormalWeb"/>
        <w:spacing w:before="0" w:beforeAutospacing="0" w:after="0" w:afterAutospacing="0" w:line="480" w:lineRule="auto"/>
        <w:rPr>
          <w:color w:val="0E101A"/>
        </w:rPr>
      </w:pPr>
      <w:r w:rsidRPr="000C131A">
        <w:rPr>
          <w:color w:val="0E101A"/>
        </w:rPr>
        <w:t>Name: Jeron Scott Kyle</w:t>
      </w:r>
    </w:p>
    <w:p w:rsidR="00F13F64" w:rsidRPr="000C131A" w:rsidRDefault="00F13F64" w:rsidP="00AA4AE9">
      <w:pPr>
        <w:pStyle w:val="NormalWeb"/>
        <w:spacing w:before="0" w:beforeAutospacing="0" w:after="0" w:afterAutospacing="0" w:line="480" w:lineRule="auto"/>
        <w:rPr>
          <w:color w:val="0E101A"/>
        </w:rPr>
      </w:pPr>
      <w:r w:rsidRPr="000C131A">
        <w:rPr>
          <w:color w:val="0E101A"/>
        </w:rPr>
        <w:t>Title: Director of Emergency Management</w:t>
      </w:r>
    </w:p>
    <w:p w:rsidR="00F13F64" w:rsidRPr="000C131A" w:rsidRDefault="00F13F64" w:rsidP="00AA4AE9">
      <w:pPr>
        <w:pStyle w:val="NormalWeb"/>
        <w:spacing w:before="0" w:beforeAutospacing="0" w:after="0" w:afterAutospacing="0" w:line="480" w:lineRule="auto"/>
        <w:rPr>
          <w:color w:val="0E101A"/>
        </w:rPr>
      </w:pPr>
      <w:r w:rsidRPr="000C131A">
        <w:rPr>
          <w:color w:val="0E101A"/>
        </w:rPr>
        <w:t>Phone number: (337) 274-2898</w:t>
      </w:r>
    </w:p>
    <w:p w:rsidR="00F13F64" w:rsidRPr="000C131A" w:rsidRDefault="00F13F64" w:rsidP="00AA4AE9">
      <w:pPr>
        <w:pStyle w:val="NormalWeb"/>
        <w:spacing w:before="0" w:beforeAutospacing="0" w:after="0" w:afterAutospacing="0" w:line="480" w:lineRule="auto"/>
        <w:rPr>
          <w:color w:val="0E101A"/>
        </w:rPr>
      </w:pPr>
      <w:r w:rsidRPr="000C131A">
        <w:rPr>
          <w:color w:val="0E101A"/>
        </w:rPr>
        <w:t>Website: not available.</w:t>
      </w:r>
    </w:p>
    <w:p w:rsidR="00F13F64" w:rsidRPr="000C131A" w:rsidRDefault="00F13F64" w:rsidP="00AA4AE9">
      <w:pPr>
        <w:pStyle w:val="NormalWeb"/>
        <w:spacing w:before="0" w:beforeAutospacing="0" w:after="0" w:afterAutospacing="0" w:line="480" w:lineRule="auto"/>
        <w:jc w:val="center"/>
        <w:rPr>
          <w:color w:val="0E101A"/>
        </w:rPr>
      </w:pPr>
      <w:r w:rsidRPr="000C131A">
        <w:rPr>
          <w:color w:val="0E101A"/>
        </w:rPr>
        <w:t>Part Three: Educational Needs Related to Disaster Preparedness</w:t>
      </w:r>
    </w:p>
    <w:p w:rsidR="00F13F64" w:rsidRPr="00FF02D6" w:rsidRDefault="00F13F64" w:rsidP="00AA4AE9">
      <w:pPr>
        <w:pStyle w:val="ListParagraph"/>
        <w:numPr>
          <w:ilvl w:val="0"/>
          <w:numId w:val="13"/>
        </w:numPr>
        <w:spacing w:line="480" w:lineRule="auto"/>
        <w:rPr>
          <w:color w:val="0E101A"/>
        </w:rPr>
      </w:pPr>
      <w:r w:rsidRPr="00FF02D6">
        <w:rPr>
          <w:color w:val="0E101A"/>
        </w:rPr>
        <w:t>List potential knowledge deficits related to disaster preparedness and how they may impact the assigned at-risk population.</w:t>
      </w:r>
    </w:p>
    <w:p w:rsidR="00F13F64" w:rsidRPr="000C131A" w:rsidRDefault="00F13F64" w:rsidP="00AA4AE9">
      <w:pPr>
        <w:pStyle w:val="NormalWeb"/>
        <w:spacing w:before="0" w:beforeAutospacing="0" w:after="0" w:afterAutospacing="0" w:line="480" w:lineRule="auto"/>
        <w:rPr>
          <w:color w:val="0E101A"/>
        </w:rPr>
      </w:pPr>
      <w:r w:rsidRPr="000C131A">
        <w:rPr>
          <w:color w:val="0E101A"/>
        </w:rPr>
        <w:t xml:space="preserve">Knowledge is critical for disaster risk reduction. Some of the potential knowledge deficits related to disaster preparedness include lack of knowledge on disaster risk, disaster risk governance for disaster risk management, funding for disaster risk reduction, and knowledge on </w:t>
      </w:r>
      <w:r w:rsidRPr="000C131A">
        <w:rPr>
          <w:color w:val="0E101A"/>
        </w:rPr>
        <w:lastRenderedPageBreak/>
        <w:t>disaster preparedness for response, recovery, rehabilitation, and reconstruction. The first deficit is the failure to understand the risks associated with a disaster. This deficit may lead to the suffering of the TBI patients from the effects of the disaster because their brain is usually abnormal which makes it hard for them to understand the related risks.</w:t>
      </w:r>
    </w:p>
    <w:p w:rsidR="00F13F64" w:rsidRPr="000C131A" w:rsidRDefault="00F13F64" w:rsidP="00AA4AE9">
      <w:pPr>
        <w:pStyle w:val="NormalWeb"/>
        <w:spacing w:before="0" w:beforeAutospacing="0" w:after="0" w:afterAutospacing="0" w:line="480" w:lineRule="auto"/>
        <w:rPr>
          <w:color w:val="0E101A"/>
        </w:rPr>
      </w:pPr>
      <w:r w:rsidRPr="000C131A">
        <w:rPr>
          <w:color w:val="0E101A"/>
        </w:rPr>
        <w:t>Lack of knowledge on disaster risk governance for disaster risk management may lead to poor or inadequate preparedness for the disaster in terms of resources needed and decisions for disaster risk reduction. TBI patients may end up being adversely affected by the disaster since they cannot make decisions on their own. They mostly depend on the government and other policymakers for resources and for making the right choices.</w:t>
      </w:r>
    </w:p>
    <w:p w:rsidR="00F13F64" w:rsidRPr="000C131A" w:rsidRDefault="00F13F64" w:rsidP="00AA4AE9">
      <w:pPr>
        <w:pStyle w:val="NormalWeb"/>
        <w:spacing w:before="0" w:beforeAutospacing="0" w:after="0" w:afterAutospacing="0" w:line="480" w:lineRule="auto"/>
        <w:rPr>
          <w:color w:val="0E101A"/>
        </w:rPr>
      </w:pPr>
      <w:r w:rsidRPr="000C131A">
        <w:rPr>
          <w:color w:val="0E101A"/>
        </w:rPr>
        <w:t>Lack of knowledge on the need for adequate funding for disaster risk reduction may lead to suffering or adverse effects of TBI patients. Funding provides for some of the necessary resources like shelter, mobility devices like wheelchairs, and drugs and medications. TBI patients may not be able to acquire these resources on their own, therefore, inadequate or lack of funding may negatively affect them by lacking some of their essential resources.</w:t>
      </w:r>
    </w:p>
    <w:p w:rsidR="00F13F64" w:rsidRPr="000C131A" w:rsidRDefault="00F13F64" w:rsidP="00AA4AE9">
      <w:pPr>
        <w:pStyle w:val="NormalWeb"/>
        <w:spacing w:before="0" w:beforeAutospacing="0" w:after="0" w:afterAutospacing="0" w:line="480" w:lineRule="auto"/>
        <w:rPr>
          <w:color w:val="0E101A"/>
        </w:rPr>
      </w:pPr>
      <w:r w:rsidRPr="000C131A">
        <w:rPr>
          <w:color w:val="0E101A"/>
        </w:rPr>
        <w:t>Knowledge deficit on disaster preparedness for response, recovery, rehabilitation, and reconstruction may result in negative effects, suffering, increased trauma, or death of TBI patients. Inadequate knowledge on disaster response by the relevant stakeholders may expose TBI patients to the negative effects of the disaster. The deficit in knowledge for recovery, rehabilitation, and reconstruction of TBI patients may lead to them getting more traumatized which may worsen their situation or even result in death.</w:t>
      </w:r>
    </w:p>
    <w:p w:rsidR="00F13F64" w:rsidRPr="000C131A" w:rsidRDefault="00F13F64" w:rsidP="00AA4AE9">
      <w:pPr>
        <w:pStyle w:val="NormalWeb"/>
        <w:spacing w:before="0" w:beforeAutospacing="0" w:after="0" w:afterAutospacing="0" w:line="480" w:lineRule="auto"/>
        <w:rPr>
          <w:color w:val="0E101A"/>
        </w:rPr>
      </w:pPr>
      <w:r w:rsidRPr="000C131A">
        <w:rPr>
          <w:color w:val="0E101A"/>
        </w:rPr>
        <w:t xml:space="preserve">In other cases knowledge deficit may be associated with ignorance, ineffective use of the available knowledge, effective use of knowledge but taking a prolonged period to effect, and effective use of knowledge but getting overpowered by increased population, vulnerability, </w:t>
      </w:r>
      <w:r w:rsidRPr="000C131A">
        <w:rPr>
          <w:color w:val="0E101A"/>
        </w:rPr>
        <w:lastRenderedPageBreak/>
        <w:t>poverty, or wealth. These deficits may result in negative effects of the disaster especially to the at-risk groups including TBI patients</w:t>
      </w:r>
      <w:r w:rsidR="005D4A3D">
        <w:rPr>
          <w:color w:val="0E101A"/>
        </w:rPr>
        <w:t>, (</w:t>
      </w:r>
      <w:r w:rsidR="00621270" w:rsidRPr="00621270">
        <w:rPr>
          <w:color w:val="222222"/>
          <w:shd w:val="clear" w:color="auto" w:fill="FFFFFF"/>
        </w:rPr>
        <w:t xml:space="preserve"> </w:t>
      </w:r>
      <w:r w:rsidR="005D4A3D">
        <w:rPr>
          <w:rFonts w:ascii="Arial" w:hAnsi="Arial" w:cs="Arial"/>
          <w:color w:val="222222"/>
          <w:sz w:val="20"/>
          <w:szCs w:val="20"/>
          <w:shd w:val="clear" w:color="auto" w:fill="FFFFFF"/>
        </w:rPr>
        <w:t xml:space="preserve">Aksa, </w:t>
      </w:r>
      <w:r w:rsidR="005D4A3D">
        <w:rPr>
          <w:rFonts w:ascii="Arial" w:hAnsi="Arial" w:cs="Arial"/>
          <w:color w:val="222222"/>
          <w:sz w:val="20"/>
          <w:szCs w:val="20"/>
          <w:shd w:val="clear" w:color="auto" w:fill="FFFFFF"/>
        </w:rPr>
        <w:t>2020).</w:t>
      </w:r>
    </w:p>
    <w:p w:rsidR="00F13F64" w:rsidRPr="005F4309" w:rsidRDefault="00F13F64" w:rsidP="00AA4AE9">
      <w:pPr>
        <w:pStyle w:val="ListParagraph"/>
        <w:numPr>
          <w:ilvl w:val="0"/>
          <w:numId w:val="13"/>
        </w:numPr>
        <w:spacing w:line="480" w:lineRule="auto"/>
        <w:rPr>
          <w:color w:val="0E101A"/>
        </w:rPr>
      </w:pPr>
      <w:r w:rsidRPr="005F4309">
        <w:rPr>
          <w:color w:val="0E101A"/>
        </w:rPr>
        <w:t>What is the top priority disaster preparedness knowledge deficit of your chosen at-risk aggregate? Identify at least one educational resource that addresses that deficit.</w:t>
      </w:r>
    </w:p>
    <w:p w:rsidR="00F13F64" w:rsidRPr="000C131A" w:rsidRDefault="00F13F64" w:rsidP="00AA4AE9">
      <w:pPr>
        <w:pStyle w:val="NormalWeb"/>
        <w:spacing w:before="0" w:beforeAutospacing="0" w:after="0" w:afterAutospacing="0" w:line="480" w:lineRule="auto"/>
        <w:rPr>
          <w:color w:val="0E101A"/>
        </w:rPr>
      </w:pPr>
      <w:r w:rsidRPr="000C131A">
        <w:rPr>
          <w:color w:val="0E101A"/>
        </w:rPr>
        <w:t>The top priority disaster preparedness knowledge deficit for TBI patients is the lack of knowledge on the risk of a disaster. Understanding the underlying disaster risk factors is important for disaster risk reduction. These factors include climate change, rapid urbanization, declining ecosystems, unsuitable use of natural resources, and poverty. People suffering from traumatic brain injury may fail to have the knowledge of these risk factors for disasters due to their abnormal brain functioning. Some may end up engaging in some of the activities that are risky and may cause disasters. This deficit is the top priority because with effective use of the knowledge disasters can be prevented. It is also a top priority for TBI patients because their brains are devastated and they are more likely to engage in risky behaviors that may cause disasters</w:t>
      </w:r>
      <w:r w:rsidR="008E0E98">
        <w:rPr>
          <w:color w:val="0E101A"/>
        </w:rPr>
        <w:t xml:space="preserve"> </w:t>
      </w:r>
      <w:r w:rsidR="008E0E98">
        <w:rPr>
          <w:color w:val="222222"/>
          <w:shd w:val="clear" w:color="auto" w:fill="FFFFFF"/>
        </w:rPr>
        <w:t>(</w:t>
      </w:r>
      <w:r w:rsidR="008E0E98" w:rsidRPr="000C131A">
        <w:rPr>
          <w:color w:val="222222"/>
          <w:shd w:val="clear" w:color="auto" w:fill="FFFFFF"/>
        </w:rPr>
        <w:t>Promlek</w:t>
      </w:r>
      <w:r w:rsidR="008E0E98">
        <w:rPr>
          <w:color w:val="222222"/>
          <w:shd w:val="clear" w:color="auto" w:fill="FFFFFF"/>
        </w:rPr>
        <w:t xml:space="preserve"> et al. 2020)</w:t>
      </w:r>
      <w:r w:rsidR="008E0E98" w:rsidRPr="000C131A">
        <w:rPr>
          <w:color w:val="0E101A"/>
        </w:rPr>
        <w:t>.</w:t>
      </w:r>
    </w:p>
    <w:p w:rsidR="00F13F64" w:rsidRPr="000C131A" w:rsidRDefault="00F13F64" w:rsidP="00AA4AE9">
      <w:pPr>
        <w:pStyle w:val="NormalWeb"/>
        <w:spacing w:before="0" w:beforeAutospacing="0" w:after="0" w:afterAutospacing="0" w:line="480" w:lineRule="auto"/>
        <w:rPr>
          <w:color w:val="0E101A"/>
        </w:rPr>
      </w:pPr>
      <w:r w:rsidRPr="000C131A">
        <w:rPr>
          <w:color w:val="0E101A"/>
        </w:rPr>
        <w:t>The Sendai Framework for Disaster Risk Reduction (SFDRR) is an example of an educational material that addresses the deficit of knowledge in disaster risk. The first priority of the SFDRR is the understanding of disaster risk. SFDRR provides guidelines on how to improve and promote cooperation between scientists, communities, policymakers, and other stakeholders to facilitate a science-based policy interface to make effective decisions on disaster risk management</w:t>
      </w:r>
      <w:r w:rsidR="0073188A" w:rsidRPr="0073188A">
        <w:rPr>
          <w:color w:val="222222"/>
          <w:shd w:val="clear" w:color="auto" w:fill="FFFFFF"/>
        </w:rPr>
        <w:t xml:space="preserve"> </w:t>
      </w:r>
    </w:p>
    <w:p w:rsidR="00F13F64" w:rsidRPr="00364028" w:rsidRDefault="00F13F64" w:rsidP="00AA4AE9">
      <w:pPr>
        <w:pStyle w:val="ListParagraph"/>
        <w:numPr>
          <w:ilvl w:val="0"/>
          <w:numId w:val="13"/>
        </w:numPr>
        <w:spacing w:line="480" w:lineRule="auto"/>
        <w:rPr>
          <w:color w:val="0E101A"/>
        </w:rPr>
      </w:pPr>
      <w:r w:rsidRPr="00364028">
        <w:rPr>
          <w:color w:val="0E101A"/>
        </w:rPr>
        <w:t>Describe how the community health nurse could strengthen the at-risk aggregate’s flexible lines of defense, according to Neuman’s System Model (NSM) by providing resources and knowledge regarding disaster preparedness.</w:t>
      </w:r>
    </w:p>
    <w:p w:rsidR="00F13F64" w:rsidRPr="000C131A" w:rsidRDefault="00F13F64" w:rsidP="00AA4AE9">
      <w:pPr>
        <w:pStyle w:val="NormalWeb"/>
        <w:spacing w:before="0" w:beforeAutospacing="0" w:after="0" w:afterAutospacing="0" w:line="480" w:lineRule="auto"/>
        <w:rPr>
          <w:color w:val="0E101A"/>
        </w:rPr>
      </w:pPr>
      <w:r w:rsidRPr="000C131A">
        <w:rPr>
          <w:color w:val="0E101A"/>
        </w:rPr>
        <w:lastRenderedPageBreak/>
        <w:t>Neuman believes that nursing deals with all the factors affecting the response of an individual to stress and that the aim of nursing is to achieve stability of the patient or client. She also believes that this can be attained by nursing interventions that minimize the stressors. Neuman, therefore, identified three intervention levels a primary intervention, secondary intervention, and tertiary intervention. The primary level includes interventions to undertake before the onset of a disaster. For TBI patients, the nurse may try to give knowledge to the patient about disaster risk. For those with severe TBI, the nurse may provide mobile devices for the patient as a primary intervention for evacuation before the disaster.</w:t>
      </w:r>
    </w:p>
    <w:p w:rsidR="00F13F64" w:rsidRPr="000C131A" w:rsidRDefault="00F13F64" w:rsidP="00AA4AE9">
      <w:pPr>
        <w:pStyle w:val="NormalWeb"/>
        <w:spacing w:before="0" w:beforeAutospacing="0" w:after="0" w:afterAutospacing="0" w:line="480" w:lineRule="auto"/>
        <w:rPr>
          <w:color w:val="0E101A"/>
        </w:rPr>
      </w:pPr>
      <w:r w:rsidRPr="000C131A">
        <w:rPr>
          <w:color w:val="0E101A"/>
        </w:rPr>
        <w:t>The secondary level includes interventions undertaken during the disaster to respond to it. These include treatment of affected or injured patients and providing resources such as food supplies to the affected people. For the TBI patients, the nurse may provide for their medications to treat any effects or for their daily prescriptions to prevent worsening of their conditions. The nurse may also engage in supplying oxygen or ventilators for those who may lose their consciousness as a result of the disaster.</w:t>
      </w:r>
    </w:p>
    <w:p w:rsidR="00F13F64" w:rsidRPr="000C131A" w:rsidRDefault="00F13F64" w:rsidP="00AA4AE9">
      <w:pPr>
        <w:pStyle w:val="NormalWeb"/>
        <w:spacing w:before="0" w:beforeAutospacing="0" w:after="0" w:afterAutospacing="0" w:line="480" w:lineRule="auto"/>
        <w:rPr>
          <w:color w:val="0E101A"/>
        </w:rPr>
      </w:pPr>
      <w:r w:rsidRPr="000C131A">
        <w:rPr>
          <w:color w:val="0E101A"/>
        </w:rPr>
        <w:t>The tertiary level includes intervention undertaken after the disaster for rehabilitation or recovery. For example, the nurse may provide rehabilitation devices such as mobility devices, eating devices, adaptive clothing aids, adaptive beds, or even pill sorters to improve the quality of life for those who may experience adverse effects of the disaster</w:t>
      </w:r>
      <w:r w:rsidR="00B323F0" w:rsidRPr="00B323F0">
        <w:rPr>
          <w:color w:val="222222"/>
          <w:shd w:val="clear" w:color="auto" w:fill="FFFFFF"/>
        </w:rPr>
        <w:t xml:space="preserve"> </w:t>
      </w:r>
      <w:r w:rsidR="00B323F0">
        <w:rPr>
          <w:color w:val="222222"/>
          <w:shd w:val="clear" w:color="auto" w:fill="FFFFFF"/>
        </w:rPr>
        <w:t>(Ahmadi</w:t>
      </w:r>
      <w:r w:rsidR="00B323F0" w:rsidRPr="000C131A">
        <w:rPr>
          <w:color w:val="222222"/>
          <w:shd w:val="clear" w:color="auto" w:fill="FFFFFF"/>
        </w:rPr>
        <w:t xml:space="preserve"> &amp; Sadeghi</w:t>
      </w:r>
      <w:r w:rsidR="00B323F0">
        <w:rPr>
          <w:color w:val="222222"/>
          <w:shd w:val="clear" w:color="auto" w:fill="FFFFFF"/>
        </w:rPr>
        <w:t>, 2017)</w:t>
      </w:r>
      <w:r w:rsidRPr="000C131A">
        <w:rPr>
          <w:color w:val="0E101A"/>
        </w:rPr>
        <w:t>.</w:t>
      </w:r>
    </w:p>
    <w:p w:rsidR="00FF43FE" w:rsidRDefault="00FF43FE" w:rsidP="00AA4AE9">
      <w:pPr>
        <w:pStyle w:val="NormalWeb"/>
        <w:spacing w:before="0" w:beforeAutospacing="0" w:after="0" w:afterAutospacing="0" w:line="480" w:lineRule="auto"/>
        <w:rPr>
          <w:color w:val="0E101A"/>
        </w:rPr>
      </w:pPr>
    </w:p>
    <w:p w:rsidR="00FF43FE" w:rsidRDefault="00FF43FE" w:rsidP="00AA4AE9">
      <w:pPr>
        <w:pStyle w:val="NormalWeb"/>
        <w:spacing w:before="0" w:beforeAutospacing="0" w:after="0" w:afterAutospacing="0" w:line="480" w:lineRule="auto"/>
        <w:rPr>
          <w:color w:val="0E101A"/>
        </w:rPr>
      </w:pPr>
    </w:p>
    <w:p w:rsidR="00FF43FE" w:rsidRDefault="00FF43FE" w:rsidP="00AA4AE9">
      <w:pPr>
        <w:pStyle w:val="NormalWeb"/>
        <w:spacing w:before="0" w:beforeAutospacing="0" w:after="0" w:afterAutospacing="0" w:line="480" w:lineRule="auto"/>
        <w:rPr>
          <w:color w:val="0E101A"/>
        </w:rPr>
      </w:pPr>
    </w:p>
    <w:p w:rsidR="00FF43FE" w:rsidRDefault="00FF43FE" w:rsidP="00AA4AE9">
      <w:pPr>
        <w:pStyle w:val="NormalWeb"/>
        <w:spacing w:before="0" w:beforeAutospacing="0" w:after="0" w:afterAutospacing="0" w:line="480" w:lineRule="auto"/>
        <w:rPr>
          <w:color w:val="0E101A"/>
        </w:rPr>
      </w:pPr>
    </w:p>
    <w:p w:rsidR="00FF43FE" w:rsidRDefault="00FF43FE" w:rsidP="00AA4AE9">
      <w:pPr>
        <w:pStyle w:val="NormalWeb"/>
        <w:spacing w:before="0" w:beforeAutospacing="0" w:after="0" w:afterAutospacing="0" w:line="480" w:lineRule="auto"/>
        <w:rPr>
          <w:color w:val="0E101A"/>
        </w:rPr>
      </w:pPr>
    </w:p>
    <w:p w:rsidR="00C7584F" w:rsidRPr="000C131A" w:rsidRDefault="00C7584F" w:rsidP="00082320">
      <w:pPr>
        <w:pStyle w:val="NormalWeb"/>
        <w:spacing w:before="0" w:beforeAutospacing="0" w:after="0" w:afterAutospacing="0" w:line="480" w:lineRule="auto"/>
        <w:jc w:val="center"/>
        <w:rPr>
          <w:color w:val="0E101A"/>
        </w:rPr>
      </w:pPr>
      <w:r w:rsidRPr="000C131A">
        <w:rPr>
          <w:color w:val="0E101A"/>
        </w:rPr>
        <w:lastRenderedPageBreak/>
        <w:t>References</w:t>
      </w:r>
    </w:p>
    <w:p w:rsidR="00885244" w:rsidRPr="005D4A3D" w:rsidRDefault="005D4A3D" w:rsidP="005D4A3D">
      <w:pPr>
        <w:pStyle w:val="NormalWeb"/>
        <w:spacing w:before="0" w:beforeAutospacing="0" w:after="0" w:afterAutospacing="0" w:line="480" w:lineRule="auto"/>
        <w:ind w:left="720" w:hanging="720"/>
        <w:rPr>
          <w:color w:val="222222"/>
          <w:shd w:val="clear" w:color="auto" w:fill="FFFFFF"/>
        </w:rPr>
      </w:pPr>
      <w:r>
        <w:rPr>
          <w:rFonts w:ascii="Arial" w:hAnsi="Arial" w:cs="Arial"/>
          <w:color w:val="222222"/>
          <w:sz w:val="20"/>
          <w:szCs w:val="20"/>
          <w:shd w:val="clear" w:color="auto" w:fill="FFFFFF"/>
        </w:rPr>
        <w:t>Ouellet, M. C., Beaulieu-Bonneau, S., &amp; Morin, C. M. (2019). Traumatic Brain Injury. In </w:t>
      </w:r>
      <w:r>
        <w:rPr>
          <w:rFonts w:ascii="Arial" w:hAnsi="Arial" w:cs="Arial"/>
          <w:i/>
          <w:iCs/>
          <w:color w:val="222222"/>
          <w:sz w:val="20"/>
          <w:szCs w:val="20"/>
          <w:shd w:val="clear" w:color="auto" w:fill="FFFFFF"/>
        </w:rPr>
        <w:t>Handbook of Sleep Disorders in Medical Conditions</w:t>
      </w:r>
      <w:r>
        <w:rPr>
          <w:rFonts w:ascii="Arial" w:hAnsi="Arial" w:cs="Arial"/>
          <w:color w:val="222222"/>
          <w:sz w:val="20"/>
          <w:szCs w:val="20"/>
          <w:shd w:val="clear" w:color="auto" w:fill="FFFFFF"/>
        </w:rPr>
        <w:t> (pp. 221-252). Academic Press.</w:t>
      </w:r>
      <w:r w:rsidR="00EB507F" w:rsidRPr="000C131A">
        <w:rPr>
          <w:color w:val="222222"/>
          <w:shd w:val="clear" w:color="auto" w:fill="FFFFFF"/>
        </w:rPr>
        <w:t>Fins, J. (2015). </w:t>
      </w:r>
      <w:r w:rsidR="00EB507F" w:rsidRPr="000C131A">
        <w:rPr>
          <w:i/>
          <w:iCs/>
          <w:color w:val="222222"/>
          <w:shd w:val="clear" w:color="auto" w:fill="FFFFFF"/>
        </w:rPr>
        <w:t>Rights come to mind: brain injury, ethics, and the struggle for consciousness</w:t>
      </w:r>
      <w:r w:rsidR="00EB507F" w:rsidRPr="000C131A">
        <w:rPr>
          <w:color w:val="222222"/>
          <w:shd w:val="clear" w:color="auto" w:fill="FFFFFF"/>
        </w:rPr>
        <w:t>. Cambridge University Press.</w:t>
      </w:r>
    </w:p>
    <w:p w:rsidR="005D4A3D" w:rsidRDefault="005D4A3D" w:rsidP="00AA4AE9">
      <w:pPr>
        <w:ind w:left="720" w:hanging="720"/>
        <w:rPr>
          <w:rFonts w:ascii="Arial" w:hAnsi="Arial" w:cs="Arial"/>
          <w:color w:val="222222"/>
          <w:sz w:val="20"/>
          <w:szCs w:val="20"/>
          <w:shd w:val="clear" w:color="auto" w:fill="FFFFFF"/>
        </w:rPr>
      </w:pPr>
      <w:r>
        <w:rPr>
          <w:rFonts w:ascii="Arial" w:hAnsi="Arial" w:cs="Arial"/>
          <w:color w:val="222222"/>
          <w:sz w:val="20"/>
          <w:szCs w:val="20"/>
          <w:shd w:val="clear" w:color="auto" w:fill="FFFFFF"/>
        </w:rPr>
        <w:t>Shapiro, L. T., Jimenez, V., Espinel, Z., Galea, S., Kossin, J. P., &amp; Shultz, J. M. (2020). Preparing survivors of Traumatic Brain Injury for catastrophic Hurricanes in the time of climate change. </w:t>
      </w:r>
      <w:r>
        <w:rPr>
          <w:rFonts w:ascii="Arial" w:hAnsi="Arial" w:cs="Arial"/>
          <w:i/>
          <w:iCs/>
          <w:color w:val="222222"/>
          <w:sz w:val="20"/>
          <w:szCs w:val="20"/>
          <w:shd w:val="clear" w:color="auto" w:fill="FFFFFF"/>
        </w:rPr>
        <w:t>The Journal of Head Trauma Rehabilitation</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35</w:t>
      </w:r>
      <w:r>
        <w:rPr>
          <w:rFonts w:ascii="Arial" w:hAnsi="Arial" w:cs="Arial"/>
          <w:color w:val="222222"/>
          <w:sz w:val="20"/>
          <w:szCs w:val="20"/>
          <w:shd w:val="clear" w:color="auto" w:fill="FFFFFF"/>
        </w:rPr>
        <w:t>(6), 439-442.</w:t>
      </w:r>
    </w:p>
    <w:p w:rsidR="005D4A3D" w:rsidRDefault="005D4A3D" w:rsidP="00AA4AE9">
      <w:pPr>
        <w:ind w:left="720" w:hanging="720"/>
        <w:rPr>
          <w:rFonts w:cs="Times New Roman"/>
          <w:color w:val="222222"/>
          <w:szCs w:val="24"/>
          <w:shd w:val="clear" w:color="auto" w:fill="FFFFFF"/>
        </w:rPr>
      </w:pPr>
      <w:r>
        <w:rPr>
          <w:rFonts w:ascii="Arial" w:hAnsi="Arial" w:cs="Arial"/>
          <w:color w:val="222222"/>
          <w:sz w:val="20"/>
          <w:szCs w:val="20"/>
          <w:shd w:val="clear" w:color="auto" w:fill="FFFFFF"/>
        </w:rPr>
        <w:t>Chang, J. (2017). public health disasters and the evolution of pandemic response structures: A case study of mers in Korea. </w:t>
      </w:r>
      <w:r>
        <w:rPr>
          <w:rFonts w:ascii="Arial" w:hAnsi="Arial" w:cs="Arial"/>
          <w:i/>
          <w:iCs/>
          <w:color w:val="222222"/>
          <w:sz w:val="20"/>
          <w:szCs w:val="20"/>
          <w:shd w:val="clear" w:color="auto" w:fill="FFFFFF"/>
        </w:rPr>
        <w:t>Korean Journal of Polic</w:t>
      </w:r>
      <w:bookmarkStart w:id="0" w:name="_GoBack"/>
      <w:bookmarkEnd w:id="0"/>
      <w:r>
        <w:rPr>
          <w:rFonts w:ascii="Arial" w:hAnsi="Arial" w:cs="Arial"/>
          <w:i/>
          <w:iCs/>
          <w:color w:val="222222"/>
          <w:sz w:val="20"/>
          <w:szCs w:val="20"/>
          <w:shd w:val="clear" w:color="auto" w:fill="FFFFFF"/>
        </w:rPr>
        <w:t>y Studies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3</w:t>
      </w:r>
      <w:r>
        <w:rPr>
          <w:rFonts w:ascii="Arial" w:hAnsi="Arial" w:cs="Arial"/>
          <w:color w:val="222222"/>
          <w:sz w:val="20"/>
          <w:szCs w:val="20"/>
          <w:shd w:val="clear" w:color="auto" w:fill="FFFFFF"/>
        </w:rPr>
        <w:t>.</w:t>
      </w:r>
    </w:p>
    <w:p w:rsidR="005D4A3D" w:rsidRDefault="005D4A3D" w:rsidP="00AA4AE9">
      <w:pPr>
        <w:ind w:left="720" w:hanging="720"/>
        <w:rPr>
          <w:rFonts w:cs="Times New Roman"/>
          <w:color w:val="222222"/>
          <w:szCs w:val="24"/>
          <w:shd w:val="clear" w:color="auto" w:fill="FFFFFF"/>
        </w:rPr>
      </w:pPr>
      <w:r>
        <w:rPr>
          <w:rFonts w:ascii="Arial" w:hAnsi="Arial" w:cs="Arial"/>
          <w:color w:val="222222"/>
          <w:sz w:val="20"/>
          <w:szCs w:val="20"/>
          <w:shd w:val="clear" w:color="auto" w:fill="FFFFFF"/>
        </w:rPr>
        <w:t>Aksa, F. I. (2020). Wisdom of indigenous and tacit knowledge for disaster risk reduction. </w:t>
      </w:r>
      <w:r>
        <w:rPr>
          <w:rFonts w:ascii="Arial" w:hAnsi="Arial" w:cs="Arial"/>
          <w:i/>
          <w:iCs/>
          <w:color w:val="222222"/>
          <w:sz w:val="20"/>
          <w:szCs w:val="20"/>
          <w:shd w:val="clear" w:color="auto" w:fill="FFFFFF"/>
        </w:rPr>
        <w:t>The Indonesian Journal of Geography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52</w:t>
      </w:r>
      <w:r>
        <w:rPr>
          <w:rFonts w:ascii="Arial" w:hAnsi="Arial" w:cs="Arial"/>
          <w:color w:val="222222"/>
          <w:sz w:val="20"/>
          <w:szCs w:val="20"/>
          <w:shd w:val="clear" w:color="auto" w:fill="FFFFFF"/>
        </w:rPr>
        <w:t>(3), 418-426.</w:t>
      </w:r>
    </w:p>
    <w:p w:rsidR="009E5254" w:rsidRPr="000C131A" w:rsidRDefault="007C6E09" w:rsidP="00AA4AE9">
      <w:pPr>
        <w:ind w:left="720" w:hanging="720"/>
        <w:rPr>
          <w:rFonts w:cs="Times New Roman"/>
          <w:color w:val="222222"/>
          <w:szCs w:val="24"/>
          <w:shd w:val="clear" w:color="auto" w:fill="FFFFFF"/>
        </w:rPr>
      </w:pPr>
      <w:r w:rsidRPr="000C131A">
        <w:rPr>
          <w:rFonts w:cs="Times New Roman"/>
          <w:color w:val="222222"/>
          <w:szCs w:val="24"/>
          <w:shd w:val="clear" w:color="auto" w:fill="FFFFFF"/>
        </w:rPr>
        <w:t>Promlek, K., Currey, J., Damkliang, J., &amp; Considine, J. (2020). Thai trauma nurses’ knowledge of neuroprotective nursing care of traumatic brain injury patients: A survey study. </w:t>
      </w:r>
      <w:r w:rsidRPr="000C131A">
        <w:rPr>
          <w:rFonts w:cs="Times New Roman"/>
          <w:i/>
          <w:iCs/>
          <w:color w:val="222222"/>
          <w:szCs w:val="24"/>
          <w:shd w:val="clear" w:color="auto" w:fill="FFFFFF"/>
        </w:rPr>
        <w:t>Nursing &amp; health sciences</w:t>
      </w:r>
      <w:r w:rsidRPr="000C131A">
        <w:rPr>
          <w:rFonts w:cs="Times New Roman"/>
          <w:color w:val="222222"/>
          <w:szCs w:val="24"/>
          <w:shd w:val="clear" w:color="auto" w:fill="FFFFFF"/>
        </w:rPr>
        <w:t>, </w:t>
      </w:r>
      <w:r w:rsidRPr="000C131A">
        <w:rPr>
          <w:rFonts w:cs="Times New Roman"/>
          <w:i/>
          <w:iCs/>
          <w:color w:val="222222"/>
          <w:szCs w:val="24"/>
          <w:shd w:val="clear" w:color="auto" w:fill="FFFFFF"/>
        </w:rPr>
        <w:t>22</w:t>
      </w:r>
      <w:r w:rsidRPr="000C131A">
        <w:rPr>
          <w:rFonts w:cs="Times New Roman"/>
          <w:color w:val="222222"/>
          <w:szCs w:val="24"/>
          <w:shd w:val="clear" w:color="auto" w:fill="FFFFFF"/>
        </w:rPr>
        <w:t>(3), 787-794.</w:t>
      </w:r>
    </w:p>
    <w:p w:rsidR="009E5254" w:rsidRDefault="000776DC" w:rsidP="00AA4AE9">
      <w:pPr>
        <w:ind w:left="720" w:hanging="720"/>
        <w:rPr>
          <w:rFonts w:cs="Times New Roman"/>
          <w:color w:val="222222"/>
          <w:szCs w:val="24"/>
          <w:shd w:val="clear" w:color="auto" w:fill="FFFFFF"/>
        </w:rPr>
      </w:pPr>
      <w:r w:rsidRPr="000C131A">
        <w:rPr>
          <w:rFonts w:cs="Times New Roman"/>
          <w:color w:val="222222"/>
          <w:szCs w:val="24"/>
          <w:shd w:val="clear" w:color="auto" w:fill="FFFFFF"/>
        </w:rPr>
        <w:t>Ahmadi, Z., &amp; Sadeghi, T. (2017). Application of the Betty Neuman systems model in the nursing care of patients/clients with multiple sclerosis. </w:t>
      </w:r>
      <w:r w:rsidRPr="000C131A">
        <w:rPr>
          <w:rFonts w:cs="Times New Roman"/>
          <w:i/>
          <w:iCs/>
          <w:color w:val="222222"/>
          <w:szCs w:val="24"/>
          <w:shd w:val="clear" w:color="auto" w:fill="FFFFFF"/>
        </w:rPr>
        <w:t>Multiple Sclerosis Journal–Experimental, Translational and Clinical</w:t>
      </w:r>
      <w:r w:rsidRPr="000C131A">
        <w:rPr>
          <w:rFonts w:cs="Times New Roman"/>
          <w:color w:val="222222"/>
          <w:szCs w:val="24"/>
          <w:shd w:val="clear" w:color="auto" w:fill="FFFFFF"/>
        </w:rPr>
        <w:t>, </w:t>
      </w:r>
      <w:r w:rsidRPr="000C131A">
        <w:rPr>
          <w:rFonts w:cs="Times New Roman"/>
          <w:i/>
          <w:iCs/>
          <w:color w:val="222222"/>
          <w:szCs w:val="24"/>
          <w:shd w:val="clear" w:color="auto" w:fill="FFFFFF"/>
        </w:rPr>
        <w:t>3</w:t>
      </w:r>
      <w:r w:rsidRPr="000C131A">
        <w:rPr>
          <w:rFonts w:cs="Times New Roman"/>
          <w:color w:val="222222"/>
          <w:szCs w:val="24"/>
          <w:shd w:val="clear" w:color="auto" w:fill="FFFFFF"/>
        </w:rPr>
        <w:t>(3), 2055217317726798.</w:t>
      </w:r>
    </w:p>
    <w:p w:rsidR="009E5254" w:rsidRPr="00F13F64" w:rsidRDefault="00D84F81" w:rsidP="00AA4AE9">
      <w:pPr>
        <w:ind w:left="720" w:hanging="720"/>
        <w:rPr>
          <w:rFonts w:cs="Times New Roman"/>
          <w:szCs w:val="24"/>
        </w:rPr>
      </w:pPr>
      <w:hyperlink r:id="rId9" w:tgtFrame="_blank" w:history="1">
        <w:r w:rsidR="003B4DF1" w:rsidRPr="007155F5">
          <w:rPr>
            <w:rStyle w:val="Hyperlink"/>
            <w:rFonts w:cs="Times New Roman"/>
            <w:color w:val="4A6EE0"/>
            <w:szCs w:val="24"/>
          </w:rPr>
          <w:t>http://www.census.gov/</w:t>
        </w:r>
      </w:hyperlink>
      <w:r w:rsidR="003B4DF1" w:rsidRPr="007155F5">
        <w:rPr>
          <w:rFonts w:cs="Times New Roman"/>
          <w:color w:val="0E101A"/>
          <w:szCs w:val="24"/>
        </w:rPr>
        <w:t>.</w:t>
      </w:r>
    </w:p>
    <w:sectPr w:rsidR="009E5254" w:rsidRPr="00F13F64" w:rsidSect="000C131A">
      <w:head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4F81" w:rsidRDefault="00D84F81" w:rsidP="000C131A">
      <w:pPr>
        <w:spacing w:line="240" w:lineRule="auto"/>
      </w:pPr>
      <w:r>
        <w:separator/>
      </w:r>
    </w:p>
  </w:endnote>
  <w:endnote w:type="continuationSeparator" w:id="0">
    <w:p w:rsidR="00D84F81" w:rsidRDefault="00D84F81" w:rsidP="000C131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4F81" w:rsidRDefault="00D84F81" w:rsidP="000C131A">
      <w:pPr>
        <w:spacing w:line="240" w:lineRule="auto"/>
      </w:pPr>
      <w:r>
        <w:separator/>
      </w:r>
    </w:p>
  </w:footnote>
  <w:footnote w:type="continuationSeparator" w:id="0">
    <w:p w:rsidR="00D84F81" w:rsidRDefault="00D84F81" w:rsidP="000C131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90196"/>
      <w:docPartObj>
        <w:docPartGallery w:val="Page Numbers (Top of Page)"/>
        <w:docPartUnique/>
      </w:docPartObj>
    </w:sdtPr>
    <w:sdtEndPr/>
    <w:sdtContent>
      <w:p w:rsidR="000C131A" w:rsidRDefault="000C131A" w:rsidP="000C131A">
        <w:pPr>
          <w:pStyle w:val="Header"/>
          <w:ind w:firstLine="0"/>
        </w:pPr>
        <w:r>
          <w:t xml:space="preserve">Nursing Practice                                                                                                                               </w:t>
        </w:r>
        <w:r w:rsidR="00D84F81">
          <w:fldChar w:fldCharType="begin"/>
        </w:r>
        <w:r w:rsidR="00D84F81">
          <w:instrText xml:space="preserve"> PAGE   \* MERGEFORMAT </w:instrText>
        </w:r>
        <w:r w:rsidR="00D84F81">
          <w:fldChar w:fldCharType="separate"/>
        </w:r>
        <w:r w:rsidR="003A47FA">
          <w:rPr>
            <w:noProof/>
          </w:rPr>
          <w:t>9</w:t>
        </w:r>
        <w:r w:rsidR="00D84F81">
          <w:rPr>
            <w:noProof/>
          </w:rPr>
          <w:fldChar w:fldCharType="end"/>
        </w:r>
      </w:p>
    </w:sdtContent>
  </w:sdt>
  <w:p w:rsidR="000C131A" w:rsidRDefault="000C131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131A" w:rsidRDefault="000C131A" w:rsidP="000C131A">
    <w:pPr>
      <w:pStyle w:val="Header"/>
      <w:ind w:firstLine="0"/>
    </w:pPr>
    <w:r>
      <w:t xml:space="preserve">Running Head: </w:t>
    </w:r>
    <w:r w:rsidRPr="000C131A">
      <w:rPr>
        <w:b/>
      </w:rPr>
      <w:t>NURSING PRACTICE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582591"/>
    <w:multiLevelType w:val="hybridMultilevel"/>
    <w:tmpl w:val="3F4827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730FCF"/>
    <w:multiLevelType w:val="hybridMultilevel"/>
    <w:tmpl w:val="5D8AFB7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0AE2240F"/>
    <w:multiLevelType w:val="multilevel"/>
    <w:tmpl w:val="07EE9B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1093296"/>
    <w:multiLevelType w:val="multilevel"/>
    <w:tmpl w:val="BB6CA9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B6A4FC7"/>
    <w:multiLevelType w:val="hybridMultilevel"/>
    <w:tmpl w:val="E40429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A42F52"/>
    <w:multiLevelType w:val="multilevel"/>
    <w:tmpl w:val="1E74C1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6940ED8"/>
    <w:multiLevelType w:val="multilevel"/>
    <w:tmpl w:val="2C8C85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61A25D8"/>
    <w:multiLevelType w:val="hybridMultilevel"/>
    <w:tmpl w:val="406606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6FB15D1"/>
    <w:multiLevelType w:val="multilevel"/>
    <w:tmpl w:val="301AC09C"/>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8D47427"/>
    <w:multiLevelType w:val="multilevel"/>
    <w:tmpl w:val="7748A05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D1A1CE2"/>
    <w:multiLevelType w:val="multilevel"/>
    <w:tmpl w:val="607C0C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E793257"/>
    <w:multiLevelType w:val="multilevel"/>
    <w:tmpl w:val="F8AA21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EF711F4"/>
    <w:multiLevelType w:val="multilevel"/>
    <w:tmpl w:val="C6DEE3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7"/>
  </w:num>
  <w:num w:numId="4">
    <w:abstractNumId w:val="8"/>
  </w:num>
  <w:num w:numId="5">
    <w:abstractNumId w:val="11"/>
  </w:num>
  <w:num w:numId="6">
    <w:abstractNumId w:val="6"/>
  </w:num>
  <w:num w:numId="7">
    <w:abstractNumId w:val="10"/>
  </w:num>
  <w:num w:numId="8">
    <w:abstractNumId w:val="12"/>
  </w:num>
  <w:num w:numId="9">
    <w:abstractNumId w:val="2"/>
  </w:num>
  <w:num w:numId="10">
    <w:abstractNumId w:val="5"/>
    <w:lvlOverride w:ilvl="1">
      <w:lvl w:ilvl="1">
        <w:numFmt w:val="lowerLetter"/>
        <w:lvlText w:val="%2."/>
        <w:lvlJc w:val="left"/>
      </w:lvl>
    </w:lvlOverride>
  </w:num>
  <w:num w:numId="11">
    <w:abstractNumId w:val="9"/>
    <w:lvlOverride w:ilvl="1">
      <w:lvl w:ilvl="1">
        <w:numFmt w:val="lowerLetter"/>
        <w:lvlText w:val="%2."/>
        <w:lvlJc w:val="left"/>
      </w:lvl>
    </w:lvlOverride>
  </w:num>
  <w:num w:numId="12">
    <w:abstractNumId w:val="3"/>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DFB"/>
    <w:rsid w:val="0000323E"/>
    <w:rsid w:val="00010857"/>
    <w:rsid w:val="00012F10"/>
    <w:rsid w:val="00017745"/>
    <w:rsid w:val="00036A55"/>
    <w:rsid w:val="00050D47"/>
    <w:rsid w:val="00051A08"/>
    <w:rsid w:val="00060582"/>
    <w:rsid w:val="000648FB"/>
    <w:rsid w:val="000776DC"/>
    <w:rsid w:val="00082320"/>
    <w:rsid w:val="00084A1D"/>
    <w:rsid w:val="00093E3D"/>
    <w:rsid w:val="000A4254"/>
    <w:rsid w:val="000A5D08"/>
    <w:rsid w:val="000B6958"/>
    <w:rsid w:val="000C131A"/>
    <w:rsid w:val="000C5028"/>
    <w:rsid w:val="000C56CA"/>
    <w:rsid w:val="000C665D"/>
    <w:rsid w:val="000E29B6"/>
    <w:rsid w:val="001048D2"/>
    <w:rsid w:val="001053C8"/>
    <w:rsid w:val="00113E36"/>
    <w:rsid w:val="00116C4C"/>
    <w:rsid w:val="00116CD5"/>
    <w:rsid w:val="001253EF"/>
    <w:rsid w:val="001254FC"/>
    <w:rsid w:val="00141067"/>
    <w:rsid w:val="0014498D"/>
    <w:rsid w:val="001463E9"/>
    <w:rsid w:val="00150DA8"/>
    <w:rsid w:val="0015443A"/>
    <w:rsid w:val="00167D7C"/>
    <w:rsid w:val="001700B2"/>
    <w:rsid w:val="00181EBB"/>
    <w:rsid w:val="00184377"/>
    <w:rsid w:val="00186ED5"/>
    <w:rsid w:val="00192259"/>
    <w:rsid w:val="001939E0"/>
    <w:rsid w:val="00193EAA"/>
    <w:rsid w:val="00196244"/>
    <w:rsid w:val="001B360A"/>
    <w:rsid w:val="001B7900"/>
    <w:rsid w:val="001B7FE7"/>
    <w:rsid w:val="001C2D61"/>
    <w:rsid w:val="001C751E"/>
    <w:rsid w:val="001E3053"/>
    <w:rsid w:val="001F14A7"/>
    <w:rsid w:val="001F2721"/>
    <w:rsid w:val="00203633"/>
    <w:rsid w:val="00207289"/>
    <w:rsid w:val="0020730C"/>
    <w:rsid w:val="00207FF9"/>
    <w:rsid w:val="00221B36"/>
    <w:rsid w:val="00233CFC"/>
    <w:rsid w:val="0023540A"/>
    <w:rsid w:val="002415EF"/>
    <w:rsid w:val="0024222D"/>
    <w:rsid w:val="002461DC"/>
    <w:rsid w:val="00247349"/>
    <w:rsid w:val="00266295"/>
    <w:rsid w:val="00267A58"/>
    <w:rsid w:val="0027343E"/>
    <w:rsid w:val="00282159"/>
    <w:rsid w:val="002860A0"/>
    <w:rsid w:val="00291360"/>
    <w:rsid w:val="002915C2"/>
    <w:rsid w:val="00291CAC"/>
    <w:rsid w:val="00295A13"/>
    <w:rsid w:val="002A6683"/>
    <w:rsid w:val="002B79A5"/>
    <w:rsid w:val="002D4D9D"/>
    <w:rsid w:val="002E596F"/>
    <w:rsid w:val="002E7D3B"/>
    <w:rsid w:val="002F31D2"/>
    <w:rsid w:val="00300C95"/>
    <w:rsid w:val="00305ECF"/>
    <w:rsid w:val="003164D8"/>
    <w:rsid w:val="00316C05"/>
    <w:rsid w:val="00325F23"/>
    <w:rsid w:val="00326B27"/>
    <w:rsid w:val="00326B8E"/>
    <w:rsid w:val="00330703"/>
    <w:rsid w:val="00334306"/>
    <w:rsid w:val="00341326"/>
    <w:rsid w:val="00362362"/>
    <w:rsid w:val="003631A8"/>
    <w:rsid w:val="00364028"/>
    <w:rsid w:val="00365775"/>
    <w:rsid w:val="003702C0"/>
    <w:rsid w:val="003A47FA"/>
    <w:rsid w:val="003B4DF1"/>
    <w:rsid w:val="003B5F1B"/>
    <w:rsid w:val="003C2158"/>
    <w:rsid w:val="003C3605"/>
    <w:rsid w:val="003C5E53"/>
    <w:rsid w:val="003C7C03"/>
    <w:rsid w:val="003D6B13"/>
    <w:rsid w:val="003D777B"/>
    <w:rsid w:val="003E0E2F"/>
    <w:rsid w:val="003E572C"/>
    <w:rsid w:val="003E663E"/>
    <w:rsid w:val="003F06AC"/>
    <w:rsid w:val="003F66D3"/>
    <w:rsid w:val="003F6781"/>
    <w:rsid w:val="00401E37"/>
    <w:rsid w:val="004040D9"/>
    <w:rsid w:val="0042357D"/>
    <w:rsid w:val="00432617"/>
    <w:rsid w:val="00460ED4"/>
    <w:rsid w:val="00466FF7"/>
    <w:rsid w:val="00474E1F"/>
    <w:rsid w:val="00481BF5"/>
    <w:rsid w:val="004900A9"/>
    <w:rsid w:val="0049475F"/>
    <w:rsid w:val="004B24DF"/>
    <w:rsid w:val="004C03BB"/>
    <w:rsid w:val="004C4200"/>
    <w:rsid w:val="004C5243"/>
    <w:rsid w:val="004C73A9"/>
    <w:rsid w:val="004D1DF0"/>
    <w:rsid w:val="004E2B02"/>
    <w:rsid w:val="004E3BAA"/>
    <w:rsid w:val="004E6DB7"/>
    <w:rsid w:val="004F584A"/>
    <w:rsid w:val="00516520"/>
    <w:rsid w:val="00526762"/>
    <w:rsid w:val="005403E2"/>
    <w:rsid w:val="00540FEC"/>
    <w:rsid w:val="0054342C"/>
    <w:rsid w:val="005464E7"/>
    <w:rsid w:val="005544A4"/>
    <w:rsid w:val="00560E4E"/>
    <w:rsid w:val="005726D4"/>
    <w:rsid w:val="00572E8D"/>
    <w:rsid w:val="00573567"/>
    <w:rsid w:val="00590C7C"/>
    <w:rsid w:val="00594550"/>
    <w:rsid w:val="00596C25"/>
    <w:rsid w:val="005B1546"/>
    <w:rsid w:val="005B159A"/>
    <w:rsid w:val="005B3BD8"/>
    <w:rsid w:val="005B3E47"/>
    <w:rsid w:val="005B46BE"/>
    <w:rsid w:val="005B7DFB"/>
    <w:rsid w:val="005D4A3D"/>
    <w:rsid w:val="005E708D"/>
    <w:rsid w:val="005F1DAC"/>
    <w:rsid w:val="005F2244"/>
    <w:rsid w:val="005F4309"/>
    <w:rsid w:val="00603D67"/>
    <w:rsid w:val="00611981"/>
    <w:rsid w:val="00616129"/>
    <w:rsid w:val="00621270"/>
    <w:rsid w:val="006316D9"/>
    <w:rsid w:val="00631AE4"/>
    <w:rsid w:val="00632EF0"/>
    <w:rsid w:val="00633251"/>
    <w:rsid w:val="00641A66"/>
    <w:rsid w:val="00647B84"/>
    <w:rsid w:val="00653F34"/>
    <w:rsid w:val="00660BB1"/>
    <w:rsid w:val="006667BA"/>
    <w:rsid w:val="006770EC"/>
    <w:rsid w:val="0068348D"/>
    <w:rsid w:val="00694ED1"/>
    <w:rsid w:val="006B5EE1"/>
    <w:rsid w:val="006C0FEC"/>
    <w:rsid w:val="006C0FF8"/>
    <w:rsid w:val="006C5CA7"/>
    <w:rsid w:val="006D024A"/>
    <w:rsid w:val="00702E8A"/>
    <w:rsid w:val="00703D1F"/>
    <w:rsid w:val="0071211F"/>
    <w:rsid w:val="00712D96"/>
    <w:rsid w:val="007155F5"/>
    <w:rsid w:val="00727F72"/>
    <w:rsid w:val="0073188A"/>
    <w:rsid w:val="007332D0"/>
    <w:rsid w:val="00775383"/>
    <w:rsid w:val="0078767E"/>
    <w:rsid w:val="00787BA2"/>
    <w:rsid w:val="00797BEE"/>
    <w:rsid w:val="007A1CF0"/>
    <w:rsid w:val="007A1E50"/>
    <w:rsid w:val="007C34ED"/>
    <w:rsid w:val="007C39B3"/>
    <w:rsid w:val="007C6E09"/>
    <w:rsid w:val="007D3384"/>
    <w:rsid w:val="007E01A8"/>
    <w:rsid w:val="007E1E93"/>
    <w:rsid w:val="007E4D5F"/>
    <w:rsid w:val="007E5D89"/>
    <w:rsid w:val="007F2E46"/>
    <w:rsid w:val="008073C2"/>
    <w:rsid w:val="00817DDB"/>
    <w:rsid w:val="00820019"/>
    <w:rsid w:val="00823684"/>
    <w:rsid w:val="00826864"/>
    <w:rsid w:val="00845A83"/>
    <w:rsid w:val="008506F8"/>
    <w:rsid w:val="0085166A"/>
    <w:rsid w:val="00853C07"/>
    <w:rsid w:val="008709D0"/>
    <w:rsid w:val="00872505"/>
    <w:rsid w:val="008773AB"/>
    <w:rsid w:val="008811DE"/>
    <w:rsid w:val="00885244"/>
    <w:rsid w:val="0089628A"/>
    <w:rsid w:val="00896A62"/>
    <w:rsid w:val="008A3192"/>
    <w:rsid w:val="008B4951"/>
    <w:rsid w:val="008C1468"/>
    <w:rsid w:val="008C4613"/>
    <w:rsid w:val="008C73F9"/>
    <w:rsid w:val="008D1082"/>
    <w:rsid w:val="008E0E98"/>
    <w:rsid w:val="008E5020"/>
    <w:rsid w:val="008F0489"/>
    <w:rsid w:val="008F3D63"/>
    <w:rsid w:val="008F49BC"/>
    <w:rsid w:val="008F6422"/>
    <w:rsid w:val="008F6B68"/>
    <w:rsid w:val="00904FAE"/>
    <w:rsid w:val="00910CD7"/>
    <w:rsid w:val="00917CDD"/>
    <w:rsid w:val="00927C78"/>
    <w:rsid w:val="00953C9A"/>
    <w:rsid w:val="00955838"/>
    <w:rsid w:val="00956813"/>
    <w:rsid w:val="00957588"/>
    <w:rsid w:val="00960C52"/>
    <w:rsid w:val="00974605"/>
    <w:rsid w:val="009803A9"/>
    <w:rsid w:val="009932C2"/>
    <w:rsid w:val="00993F17"/>
    <w:rsid w:val="009A4F6D"/>
    <w:rsid w:val="009B3930"/>
    <w:rsid w:val="009B4989"/>
    <w:rsid w:val="009C5E5D"/>
    <w:rsid w:val="009D276D"/>
    <w:rsid w:val="009D4D5D"/>
    <w:rsid w:val="009E2AC2"/>
    <w:rsid w:val="009E5254"/>
    <w:rsid w:val="009E55F2"/>
    <w:rsid w:val="009F2733"/>
    <w:rsid w:val="00A01698"/>
    <w:rsid w:val="00A10B28"/>
    <w:rsid w:val="00A1694D"/>
    <w:rsid w:val="00A16CEB"/>
    <w:rsid w:val="00A21ECC"/>
    <w:rsid w:val="00A254FC"/>
    <w:rsid w:val="00A266E9"/>
    <w:rsid w:val="00A3248E"/>
    <w:rsid w:val="00A40D7A"/>
    <w:rsid w:val="00A42E94"/>
    <w:rsid w:val="00A54C35"/>
    <w:rsid w:val="00A56F1F"/>
    <w:rsid w:val="00A62284"/>
    <w:rsid w:val="00A6398C"/>
    <w:rsid w:val="00A703D4"/>
    <w:rsid w:val="00A71F45"/>
    <w:rsid w:val="00A75649"/>
    <w:rsid w:val="00A80033"/>
    <w:rsid w:val="00AA036D"/>
    <w:rsid w:val="00AA4AE9"/>
    <w:rsid w:val="00AA7B98"/>
    <w:rsid w:val="00AB4EFE"/>
    <w:rsid w:val="00AB6FF3"/>
    <w:rsid w:val="00AC1734"/>
    <w:rsid w:val="00AC2EB9"/>
    <w:rsid w:val="00AC479B"/>
    <w:rsid w:val="00AC654B"/>
    <w:rsid w:val="00AF4557"/>
    <w:rsid w:val="00B323F0"/>
    <w:rsid w:val="00B347A5"/>
    <w:rsid w:val="00B50FCE"/>
    <w:rsid w:val="00B54CFE"/>
    <w:rsid w:val="00B54D91"/>
    <w:rsid w:val="00B6090A"/>
    <w:rsid w:val="00B6158F"/>
    <w:rsid w:val="00B64A85"/>
    <w:rsid w:val="00B65C45"/>
    <w:rsid w:val="00B730D2"/>
    <w:rsid w:val="00B770B1"/>
    <w:rsid w:val="00B8205C"/>
    <w:rsid w:val="00B8519F"/>
    <w:rsid w:val="00B90189"/>
    <w:rsid w:val="00B91E5D"/>
    <w:rsid w:val="00B94033"/>
    <w:rsid w:val="00BA73EA"/>
    <w:rsid w:val="00BB29C7"/>
    <w:rsid w:val="00BB335C"/>
    <w:rsid w:val="00BC4646"/>
    <w:rsid w:val="00BC54CA"/>
    <w:rsid w:val="00BD4607"/>
    <w:rsid w:val="00BE50A4"/>
    <w:rsid w:val="00BE5122"/>
    <w:rsid w:val="00BE7162"/>
    <w:rsid w:val="00BE7184"/>
    <w:rsid w:val="00BF2564"/>
    <w:rsid w:val="00BF6F8A"/>
    <w:rsid w:val="00C011F6"/>
    <w:rsid w:val="00C04D78"/>
    <w:rsid w:val="00C0530C"/>
    <w:rsid w:val="00C05444"/>
    <w:rsid w:val="00C14C62"/>
    <w:rsid w:val="00C26AF7"/>
    <w:rsid w:val="00C34067"/>
    <w:rsid w:val="00C42614"/>
    <w:rsid w:val="00C43BC2"/>
    <w:rsid w:val="00C52CBD"/>
    <w:rsid w:val="00C66845"/>
    <w:rsid w:val="00C72D6F"/>
    <w:rsid w:val="00C750D8"/>
    <w:rsid w:val="00C75205"/>
    <w:rsid w:val="00C7584F"/>
    <w:rsid w:val="00C77216"/>
    <w:rsid w:val="00C83AD5"/>
    <w:rsid w:val="00C87420"/>
    <w:rsid w:val="00C90858"/>
    <w:rsid w:val="00CA305C"/>
    <w:rsid w:val="00CA7BB2"/>
    <w:rsid w:val="00CA7D48"/>
    <w:rsid w:val="00CD6BE9"/>
    <w:rsid w:val="00CE2CFD"/>
    <w:rsid w:val="00CE455A"/>
    <w:rsid w:val="00CE66EC"/>
    <w:rsid w:val="00CE6A67"/>
    <w:rsid w:val="00CE6D3F"/>
    <w:rsid w:val="00CF3189"/>
    <w:rsid w:val="00CF688E"/>
    <w:rsid w:val="00CF7B2F"/>
    <w:rsid w:val="00D12B33"/>
    <w:rsid w:val="00D13F95"/>
    <w:rsid w:val="00D164C9"/>
    <w:rsid w:val="00D22ADC"/>
    <w:rsid w:val="00D260BA"/>
    <w:rsid w:val="00D35D68"/>
    <w:rsid w:val="00D745F3"/>
    <w:rsid w:val="00D75D1F"/>
    <w:rsid w:val="00D81B68"/>
    <w:rsid w:val="00D832A2"/>
    <w:rsid w:val="00D84F81"/>
    <w:rsid w:val="00D86B6D"/>
    <w:rsid w:val="00DB2B18"/>
    <w:rsid w:val="00DF7364"/>
    <w:rsid w:val="00E045A3"/>
    <w:rsid w:val="00E13742"/>
    <w:rsid w:val="00E151B7"/>
    <w:rsid w:val="00E6112D"/>
    <w:rsid w:val="00E6293C"/>
    <w:rsid w:val="00E63734"/>
    <w:rsid w:val="00E66914"/>
    <w:rsid w:val="00E803F0"/>
    <w:rsid w:val="00E812A8"/>
    <w:rsid w:val="00E8405E"/>
    <w:rsid w:val="00E910A7"/>
    <w:rsid w:val="00EB507F"/>
    <w:rsid w:val="00EB79DB"/>
    <w:rsid w:val="00EC08BF"/>
    <w:rsid w:val="00EC279B"/>
    <w:rsid w:val="00EC4177"/>
    <w:rsid w:val="00ED5FC4"/>
    <w:rsid w:val="00EE1D96"/>
    <w:rsid w:val="00EE536D"/>
    <w:rsid w:val="00F015C2"/>
    <w:rsid w:val="00F02F15"/>
    <w:rsid w:val="00F12301"/>
    <w:rsid w:val="00F13F64"/>
    <w:rsid w:val="00F15489"/>
    <w:rsid w:val="00F160A3"/>
    <w:rsid w:val="00F323D2"/>
    <w:rsid w:val="00F44A39"/>
    <w:rsid w:val="00F44A57"/>
    <w:rsid w:val="00F465D4"/>
    <w:rsid w:val="00F535CE"/>
    <w:rsid w:val="00F66DE1"/>
    <w:rsid w:val="00F851E1"/>
    <w:rsid w:val="00F865FD"/>
    <w:rsid w:val="00F92CA8"/>
    <w:rsid w:val="00F9581E"/>
    <w:rsid w:val="00FA6C0A"/>
    <w:rsid w:val="00FB399C"/>
    <w:rsid w:val="00FB76A0"/>
    <w:rsid w:val="00FC5B82"/>
    <w:rsid w:val="00FD0A73"/>
    <w:rsid w:val="00FD784F"/>
    <w:rsid w:val="00FE2895"/>
    <w:rsid w:val="00FE6D0A"/>
    <w:rsid w:val="00FE7036"/>
    <w:rsid w:val="00FF01BF"/>
    <w:rsid w:val="00FF02D6"/>
    <w:rsid w:val="00FF43FE"/>
    <w:rsid w:val="00FF6472"/>
    <w:rsid w:val="00FF7B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446CFFD-99EE-4025-B691-5F2DC3231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7F72"/>
    <w:pPr>
      <w:spacing w:after="0" w:line="480" w:lineRule="auto"/>
      <w:ind w:firstLine="720"/>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7DFB"/>
    <w:pPr>
      <w:spacing w:line="240" w:lineRule="auto"/>
      <w:ind w:left="720"/>
      <w:contextualSpacing/>
    </w:pPr>
    <w:rPr>
      <w:rFonts w:eastAsia="Times New Roman" w:cs="Times New Roman"/>
      <w:szCs w:val="24"/>
    </w:rPr>
  </w:style>
  <w:style w:type="character" w:styleId="Hyperlink">
    <w:name w:val="Hyperlink"/>
    <w:basedOn w:val="DefaultParagraphFont"/>
    <w:uiPriority w:val="99"/>
    <w:unhideWhenUsed/>
    <w:rsid w:val="000A4254"/>
    <w:rPr>
      <w:color w:val="0000FF" w:themeColor="hyperlink"/>
      <w:u w:val="single"/>
    </w:rPr>
  </w:style>
  <w:style w:type="paragraph" w:styleId="NormalWeb">
    <w:name w:val="Normal (Web)"/>
    <w:basedOn w:val="Normal"/>
    <w:uiPriority w:val="99"/>
    <w:unhideWhenUsed/>
    <w:rsid w:val="00F13F64"/>
    <w:pPr>
      <w:spacing w:before="100" w:beforeAutospacing="1" w:after="100" w:afterAutospacing="1" w:line="240" w:lineRule="auto"/>
    </w:pPr>
    <w:rPr>
      <w:rFonts w:eastAsia="Times New Roman" w:cs="Times New Roman"/>
      <w:szCs w:val="24"/>
    </w:rPr>
  </w:style>
  <w:style w:type="paragraph" w:styleId="Header">
    <w:name w:val="header"/>
    <w:basedOn w:val="Normal"/>
    <w:link w:val="HeaderChar"/>
    <w:uiPriority w:val="99"/>
    <w:unhideWhenUsed/>
    <w:rsid w:val="000C131A"/>
    <w:pPr>
      <w:tabs>
        <w:tab w:val="center" w:pos="4680"/>
        <w:tab w:val="right" w:pos="9360"/>
      </w:tabs>
      <w:spacing w:line="240" w:lineRule="auto"/>
    </w:pPr>
  </w:style>
  <w:style w:type="character" w:customStyle="1" w:styleId="HeaderChar">
    <w:name w:val="Header Char"/>
    <w:basedOn w:val="DefaultParagraphFont"/>
    <w:link w:val="Header"/>
    <w:uiPriority w:val="99"/>
    <w:rsid w:val="000C131A"/>
    <w:rPr>
      <w:rFonts w:ascii="Times New Roman" w:hAnsi="Times New Roman"/>
      <w:sz w:val="24"/>
    </w:rPr>
  </w:style>
  <w:style w:type="paragraph" w:styleId="Footer">
    <w:name w:val="footer"/>
    <w:basedOn w:val="Normal"/>
    <w:link w:val="FooterChar"/>
    <w:uiPriority w:val="99"/>
    <w:semiHidden/>
    <w:unhideWhenUsed/>
    <w:rsid w:val="000C131A"/>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0C131A"/>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5112735">
      <w:bodyDiv w:val="1"/>
      <w:marLeft w:val="0"/>
      <w:marRight w:val="0"/>
      <w:marTop w:val="0"/>
      <w:marBottom w:val="0"/>
      <w:divBdr>
        <w:top w:val="none" w:sz="0" w:space="0" w:color="auto"/>
        <w:left w:val="none" w:sz="0" w:space="0" w:color="auto"/>
        <w:bottom w:val="none" w:sz="0" w:space="0" w:color="auto"/>
        <w:right w:val="none" w:sz="0" w:space="0" w:color="auto"/>
      </w:divBdr>
    </w:div>
    <w:div w:id="1427074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dcross.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ensus.go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censu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2156</Words>
  <Characters>12293</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Mn</dc:creator>
  <cp:lastModifiedBy>HP</cp:lastModifiedBy>
  <cp:revision>2</cp:revision>
  <dcterms:created xsi:type="dcterms:W3CDTF">2021-07-01T02:27:00Z</dcterms:created>
  <dcterms:modified xsi:type="dcterms:W3CDTF">2021-07-01T02:27:00Z</dcterms:modified>
</cp:coreProperties>
</file>